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854 vom 28. Oktober 2024</w:t>
      </w:r>
    </w:p>
    <w:p>
      <w:r>
        <w:t>VD Tribunal cantonal, 2024-10-28, FR</w:t>
      </w:r>
    </w:p>
    <w:p>
      <w:r>
        <w:rPr>
          <w:b/>
        </w:rPr>
        <w:t xml:space="preserve">Quelle: </w:t>
      </w:r>
      <w:r>
        <w:t>https://mcp.opencaselaw.ch/entscheid/vd_findinfo_HC___2024___854</w:t>
      </w:r>
    </w:p>
    <w:p>
      <w:r>
        <w:t>FR: VD_FINDINFO HC / 2024 / 854 du 28 octobre 2024</w:t>
      </w:r>
    </w:p>
    <w:p>
      <w:r>
        <w:t>IT: VD_FINDINFO HC / 2024 / 854 del 28 ottobre 2024</w:t>
      </w:r>
    </w:p>
    <w:p>
      <w:pPr>
        <w:pStyle w:val="Heading2"/>
      </w:pPr>
      <w:r>
        <w:t>Regeste</w:t>
      </w:r>
    </w:p>
    <w:p>
      <w:r>
        <w:t>DOMMAGE IRRÉPARABLE, SUSPENSION DE LA PROCÉDURE | 126 al. 1 CPC (CH), 319 let. b ch. 2 CPC (CH)</w:t>
      </w:r>
    </w:p>
    <w:p>
      <w:pPr>
        <w:pStyle w:val="Heading2"/>
      </w:pPr>
      <w:r>
        <w:t>Erwägungen</w:t>
      </w:r>
    </w:p>
    <w:p>
      <w:r>
        <w:rPr>
          <w:b/>
        </w:rPr>
        <w:t>E. 3</w:t>
      </w:r>
    </w:p>
    <w:p>
      <w:r>
        <w:t>Par ordonnance d’instruction du 3 octobre 2024, la présidente a rejeté la requête de suspension du 20 mars 2024 déposée par le recourant à l’encontre de l’intimée (I), a arrêté les frais judiciaires à 600 fr., les a mis à la charge du recourant et les a compensés avec l’avance de frais déjà versée par celui-ci (II) et a dit que le recourant était le débiteur de l’intimée et lui devait immédiat paiement de la somme de 500 fr. à titre de dépens (III). En substance, la présidente a considéré que le recourant voulait obtenir, par la suspension de la cause en divorce, le report de l’expertise pédopsychiatrique ordonnée par l’ordonnance de mesures protectrices de l’union conjugale du 15 août 2023. De plus, la présidente ne voyait pas dans quelle mesure le sort des mesures protectrices de l’union conjugale – par définition provisoires – avait un impact sur la procédure de divorce au fond. Pour le surplus, le recourant ne faisant valoir aucun motif valable justifiant de la suspension requise.</w:t>
      </w:r>
    </w:p>
    <w:p>
      <w:r>
        <w:rPr>
          <w:b/>
        </w:rPr>
        <w:t>E. 4</w:t>
      </w:r>
    </w:p>
    <w:p>
      <w:r>
        <w:t>Par acte du 17 octobre 2024, le recourant a déposé un recours contre l’ordonnance précitée, concluant, en substance et avec suite de frais et dépens, préalablement à ce que l’effet suspensif soit accordé au recours. Principalement, il a sollicité la réforme de l’ordonnance en ce sens que les chiffres I, II et III de son dispositif soient supprimés et que la requête de suspension soit accordée.</w:t>
      </w:r>
    </w:p>
    <w:p>
      <w:r>
        <w:rPr>
          <w:b/>
        </w:rPr>
        <w:t>E. 5.1.1</w:t>
      </w:r>
    </w:p>
    <w:p>
      <w:r>
        <w:t>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A la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2 CPC). Dans le canton de Vaud, l’instance de recours est la Chambre des recours civile du Tribunal cantonal (art. 73 al. 1 LOJV [loi d’organisation judiciaire du 12 décembre 1979 ; BLV 173.01]).</w:t>
      </w:r>
    </w:p>
    <w:p>
      <w:r>
        <w:rPr>
          <w:b/>
        </w:rPr>
        <w:t>E. 5.1.2</w:t>
      </w:r>
    </w:p>
    <w:p>
      <w:r>
        <w:t>A la teneur de l’art. 126 al. 1 CPC, Le tribunal peut ordonner la suspension de la procédure si des motifs d’opportunité le commandent. La procédure peut notamment être suspendue lorsque la décision dépend du sort d’un autre procès. L’art. 126 al. 2 CPC précise que l’ordonnance de suspension peut faire l’objet d’un recours. Les décisions de suspension, au sens de l'art. 126 al. 1 CPC, entrent dans la catégorie des ordonnances d'instruction et sont, partant, soumises au délai de recours de dix jours de l'art. 321 al. 2 CPC (ATF 141 III 270 consid. 3.3 ; ATF 138 III 705 consid. 2.1 ; TF 5D_127/2019 du 19 août 2019 consid. 7.2 ; TF 5A_276/2010 du 10 août 2010 consid. 2.2). Le refus de la suspension – à la différence du prononcé de la suspension (cf. art. 126 al. 2 CPC en lien avec art. 319 let. b ch. 1 CPC) – ne peut être attaqué séparément au plan cantonal que de manière limitée, soit seulement dans le cadre de l’art. 319 let. b ch. 2 CPC. Cela n’exclut cependant pas une remise en cause dans un appel ou recours dirigé contre la décision finale (TF 5A_545/2017 du 13 avril 2018 consid. 3.2 ; TF 5D_182/2015 du 2 février 2016 consid. 1.3).</w:t>
      </w:r>
    </w:p>
    <w:p>
      <w:r>
        <w:rPr>
          <w:b/>
        </w:rPr>
        <w:t>E. 5.2</w:t>
      </w:r>
    </w:p>
    <w:p>
      <w:r>
        <w:t>La décision entreprise, par laquelle la présidente a rejeté une requête de suspension formulée par le recourant, fondée sur l’art. 126 al. 1 CPC, participe à la conduite des débats et doit être qualifiée d’ordonnance d’instruction au sens de l’art. 319 let. b CPC. Ecrit et motivé, le recours a été formé en temps utile par une partie qui dispose d’un intérêt digne de protection (art. 59 al. 2 let. a CPC).</w:t>
      </w:r>
    </w:p>
    <w:p>
      <w:r>
        <w:rPr>
          <w:b/>
        </w:rPr>
        <w:t>E. 5.3.1</w:t>
      </w:r>
    </w:p>
    <w:p>
      <w:r>
        <w:t>La loi ne prévoit pas la possibilité d’un recours contre le refus de la suspension de la procédure. Il convient ainsi d’examiner si le recours est recevable sous l’angle de la condition du risque de préjudice difficilement réparable (art. 319 let. b ch. 2 CPC). Le recourant doit démontrer l’existence d’un tel risque (CREC 21 août 2024/201 ; CREC 11 juin 2024/146 ; CREC 15 octobre 2020/239).</w:t>
      </w:r>
    </w:p>
    <w:p>
      <w:r>
        <w:rPr>
          <w:b/>
        </w:rPr>
        <w:t>E. 5.3.2</w:t>
      </w:r>
    </w:p>
    <w:p>
      <w:r>
        <w:t>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 consid. 1.2 ; ATF 137 III 380 consid. 1.2.2 ; TF 5A_554/2019 du 21 novembre 2019 consid. 1.1.1). Ainsi, l’art. 319 let. b ch. 2 CPC ne vise pas seulement un inconvénient de nature juridique, imminent, mais toute incidence dommageable, y compris financière ou temporelle, pourvu qu’elle soit difficilement réparable (Jeandin, in Bohnet et al., Commentaire romand, Code de procédure civile [ci-après : CR CPC], 2 e éd., Bâle 2019, n. 22 ad art. 319 CPC). Il y a toutefois lieu de se montrer exigeant, voire restrictif, avant d’admettre la réalisation de cette condition, sous peine d’ouvrir le recours contre toute décision ou ordonnance d’instruction, ce que le législateur a clairement exclu (parmi d’autres : CREC 2 septembre 2024/210 ; Jeandin, op. cit ., n. 22 ad art. 319 CPC). En outre, un préjudice irréparable de nature juridique ne doit pas pouvoir être ultérieurement réparé ou entièrement réparé par une décision finale favorable au recourant (ATF 134 III 188 consid. 2.1 et 2.2 ; TF 4A_434/2024 du 20 septembre 2024 consid. 4.4.1).</w:t>
      </w:r>
    </w:p>
    <w:p>
      <w:r>
        <w:rPr>
          <w:b/>
        </w:rPr>
        <w:t>E. 5.3.3</w:t>
      </w:r>
    </w:p>
    <w:p>
      <w:r>
        <w:t>L’existence d’un préjudice difficilement réparable à la suite du refus d’une suspension de la procédure semble peu réaliste (Haldy, CR CPC, n. 9 ad art. 126 CPC ; cf. TF 4A_393/2011 du 19 octobre 2011 consid. 1.1 ; TF 5A_737/2008 du 3 avril 2009 consid. 2.2 ; TF 4A_241/2008 du 15 mai 2008 consid. 1.3 concernant le refus de suspendre une procédure civile jusqu'à droit connu sur les poursuites pénales).</w:t>
      </w:r>
    </w:p>
    <w:p>
      <w:r>
        <w:rPr>
          <w:b/>
        </w:rPr>
        <w:t>E. 5.4.1</w:t>
      </w:r>
    </w:p>
    <w:p>
      <w:r>
        <w:t>En l’espèce, le recourant considère que la présidente aurait dû prononcer la suspension de la procédure de divorce, compte tenu du fait que cette procédure dépendrait du sort d’un autre procès, à savoir le recours déposé le 11 mars 2024 par le recourant devant le Tribunal fédéral contre l’arrêt du 31 janvier 2024 de la Juge unique de la Cour d’appel civile. Par ailleurs, le recourant critique le rapport de l’UEMS et l’expertise qui a été ordonnée par la présidente, la considérant inutile, disproportionnée et hors de prix. S’agissant du risque de préjudice difficilement réparable, le recourant expose uniquement qu’il voit moins son fils [...] depuis la « décision querellé » – ce temps étant perdu à jamais. Enfin, il est d’avis que la suspension permettrait d’éviter « une décision définitive dans le cadre du divorce lequel rendrait ce préjudice irréparable et rajouterait un obstacle de plus à la conclusion de cette affaire ».</w:t>
      </w:r>
    </w:p>
    <w:p>
      <w:r>
        <w:rPr>
          <w:b/>
        </w:rPr>
        <w:t>E. 5.4.2</w:t>
      </w:r>
    </w:p>
    <w:p>
      <w:r>
        <w:t>Ce faisant, le recourant remet en cause l’attribution de la garde exclusive à l’intimée par l’ordonnance de mesures protectrices de l’union conjugale du 15 août 2023 – bien qu’elle ait déjà fait l’objet d’un arrêt de la Cour d’appel civile la confirmant – et non l’ordonnance d’instruction du 3 octobre 2024, objet de la présente procédure. Le recourant ne fait valoir aucun inconvénient de nature juridique ou factuelle qui pourrait l’atteindre sur la base de la décision attaquée ni dans quelle mesure un hypothétique préjudice ne pourrait pas être réparé ultérieurement. Le refus de la suspension de la procédure de divorce ne concerne pas directement la problématique de la garde des enfants, sur laquelle la présidente a statué à titre provisionnelle par l’ordonnance de mesures protectrices de l’union conjugale du 15 août 2023. Il s’ensuit que le recourant n’établit pas que le prononcé serait susceptible de lui causer un préjudice difficilement réparable.</w:t>
      </w:r>
    </w:p>
    <w:p>
      <w:r>
        <w:rPr>
          <w:b/>
        </w:rPr>
        <w:t>E. 6.1</w:t>
      </w:r>
    </w:p>
    <w:p>
      <w:r>
        <w:t>Au vu de ce qui précède, le recours est irrecevable conformément à l’art. 319 let. b ch. 2 CPC a contrario . Le recours étant irrecevable, la requête d’effet suspensif est sans d’objet.</w:t>
      </w:r>
    </w:p>
    <w:p>
      <w:r>
        <w:rPr>
          <w:b/>
        </w:rPr>
        <w:t>E. 6.2</w:t>
      </w:r>
    </w:p>
    <w:p>
      <w:r>
        <w:t>Il ne sera pas perçu de frais judiciaires de deuxième instance (art. 11 TFJC [tarif des frais judiciaires civils du 28 septembre 2010 ; BLV 270.11.5]) et 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La présidente :               Le greffier : Du L'arrêt qui précède, dont la rédaction a été approuvée à huis clos, est notifié à : ‑ M. A.Z.________ (personnellement), ‑ Me Quentin Beausire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