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847 vom 7. Oktober 2024</w:t>
      </w:r>
    </w:p>
    <w:p>
      <w:r>
        <w:t>VD Tribunal cantonal, 2024-10-07, FR</w:t>
      </w:r>
    </w:p>
    <w:p>
      <w:r>
        <w:rPr>
          <w:b/>
        </w:rPr>
        <w:t xml:space="preserve">Quelle: </w:t>
      </w:r>
      <w:r>
        <w:t>https://mcp.opencaselaw.ch/entscheid/vd_findinfo_HC___2024___847</w:t>
      </w:r>
    </w:p>
    <w:p>
      <w:r>
        <w:t>FR: VD_FINDINFO HC / 2024 / 847 du 7 octobre 2024</w:t>
      </w:r>
    </w:p>
    <w:p>
      <w:r>
        <w:t>IT: VD_FINDINFO HC / 2024 / 847 del 7 ottobre 2024</w:t>
      </w:r>
    </w:p>
    <w:p>
      <w:pPr>
        <w:pStyle w:val="Heading2"/>
      </w:pPr>
      <w:r>
        <w:t>Regeste</w:t>
      </w:r>
    </w:p>
    <w:p>
      <w:r>
        <w:t>AVANCE DE FRAIS, DEMANDE RECONVENTIONNELLE, ACTION EN JUSTICE, PRINCIPE DE L'ÉQUIVALENCE{CONTRIBUTION CAUSALE} | 103 CPC (CH), 98 CPC (CH), 10 TFJC (2010), 18 al. 1 TFJC (2010), 19 al. 1 TFJC (2010)</w:t>
      </w:r>
    </w:p>
    <w:p>
      <w:pPr>
        <w:pStyle w:val="Heading2"/>
      </w:pPr>
      <w:r>
        <w:t>Erwägungen</w:t>
      </w:r>
    </w:p>
    <w:p>
      <w:r>
        <w:rPr>
          <w:b/>
        </w:rPr>
        <w:t>E. 1.1</w:t>
      </w:r>
    </w:p>
    <w:p>
      <w:r>
        <w:t>Pour simplifier la procédure, le juge peut ordonner une jonction de cause (art. 125 let. c CPC [Code de procédure civile suisse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(ATF 142 III 581 consid. 2.3).</w:t>
      </w:r>
    </w:p>
    <w:p>
      <w:r>
        <w:rPr>
          <w:b/>
        </w:rPr>
        <w:t>E. 1.2</w:t>
      </w:r>
    </w:p>
    <w:p>
      <w:r>
        <w:t>En l’espèce, les deux recours portent sur la même problématique, soit le montant de l’avance des frais judiciaires qui leur est demandée dans la même cause, et soulèvent les mêmes griefs. Il se justifie dès lors de joindre les deux appels.</w:t>
      </w:r>
    </w:p>
    <w:p>
      <w:r>
        <w:rPr>
          <w:b/>
        </w:rPr>
        <w:t>E. 2.1</w:t>
      </w:r>
    </w:p>
    <w:p>
      <w:r>
        <w:t>Selon l’art. 103 CPC, les décisions relatives aux avances de frais et aux sûretés peuvent faire l’objet d’un recours (art. 319 let. b ch. 1 CPC). Les décisions en matière d’avances de frais judiciaires étant des ordonnances d’instruction et obéissant à la procédure sommaire par analogie (parmi d’autres : CREC 14 août 2024/195 consid. 1.1 et la réf. citée),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2.2</w:t>
      </w:r>
    </w:p>
    <w:p>
      <w:r>
        <w:t>Interjetés en temps utile contre des décisions en matière d’avance de frais judiciaires par des parties qui ont un intérêt digne de protection (art. 59 al. 2 let. a CPC), les recours, écrits et motivés, sont recevables.</w:t>
      </w:r>
    </w:p>
    <w:p>
      <w:r>
        <w:rPr>
          <w:b/>
        </w:rPr>
        <w:t>E. 3</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(notamment :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4.1</w:t>
      </w:r>
    </w:p>
    <w:p>
      <w:r>
        <w:t>Les recourants I et II font tout d’abord valoir une violation de leur droit d’être entendus sous l’angle d’une motivation déficiente. Ils exposent en particulier avoir requis du juge délégué qu’il motive sa décision de calcul, ce qu’il a refusé de faire, indiquant qu’aucune autre décision sur avance de frais ne serait rendue.</w:t>
      </w:r>
    </w:p>
    <w:p>
      <w:r>
        <w:rPr>
          <w:b/>
        </w:rPr>
        <w:t>E. 4.2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 ATF 124 I 322 consid. 4d ; TF 4D_69/2016 du 19 mai 2016 consid. 4.2.4). Il n’y a pas place pour le droit d’être entendu avant l’avis d’avance de frais, la décision étant provisoire et ne préjugeant pas du sort final de la cause. Ceci est vrai même si une règle de droit matériel de répartition des frais judiciaires devra être prise en compte dans le jugement (CREC 21 juin 2021/175 ; CREC 30 novembre 2020/258 ; JdT 2021 III 66). Une partie qui voudrait faire valoir des éléments susceptibles d’influencer le montant de l’avance de frais doit les avancer spontanément, le demandeur pouvant notamment le faire dans sa demande ou dans une écriture produite en même temps que celle-ci (CREC 23 juin 2021/181).</w:t>
      </w:r>
    </w:p>
    <w:p>
      <w:r>
        <w:rPr>
          <w:b/>
        </w:rPr>
        <w:t>E. 4.2.2</w:t>
      </w:r>
    </w:p>
    <w:p>
      <w:r>
        <w:t>; ATF 139 III 334 consid. 3.2.4 ; ATF 130 III 225 consid. 2.3 ; ATF 121 I 230 consid. 3g/bb). La valeur de la prestation se mesure soit à son utilité pour le justiciable, soit à son coût par rapport à l'ensemble des dépenses de l'activité administrative en cause (ATF 130 III 225 consid. 2.3 ; ATF 120 la 171 consid. 2a et réf. cit.).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L’émolument judiciaire ne doit pas rendre l’accès à la justice impossible ou excessivement difficile (ATF 145 I 52 consid.</w:t>
      </w:r>
    </w:p>
    <w:p>
      <w:r>
        <w:rPr>
          <w:b/>
        </w:rPr>
        <w:t>E. 4.3</w:t>
      </w:r>
    </w:p>
    <w:p>
      <w:r>
        <w:t>En l’espèce, il est effectivement regrettable que, interpellé précisément sur le sujet, le juge délégué n’ait pas donné suite à la demande d’exposer son calcul relatif à l’avance de frais. Cela étant, conformément à la jurisprudence constatée de la Chambre de céans, la garantie du droit d’être entendu ne trouve pas application dans le cadre d’une décision arrêtant l’avance de frais. Le fait que la décision n’indique pas les modalités de fixation de l’avance de frais n’est donc pas constitutif d’une violation du droit d’être entendus des recourants I et II (notamment CREC 8 décembre 2021/339 consid. 4.3). Le grief doit être rejeté.</w:t>
      </w:r>
    </w:p>
    <w:p>
      <w:r>
        <w:rPr>
          <w:b/>
        </w:rPr>
        <w:t>E. 5.1</w:t>
      </w:r>
    </w:p>
    <w:p>
      <w:r>
        <w:t>Les recourants I et II invoquent une violation de l’art. 94 al. 1 CPC, respectivement de l’art.</w:t>
      </w:r>
    </w:p>
    <w:p>
      <w:r>
        <w:rPr>
          <w:b/>
        </w:rPr>
        <w:t>E. 5.2</w:t>
      </w:r>
    </w:p>
    <w:p>
      <w:r>
        <w:t>Pour déterminer le montant des frais judiciaires présumés, il y a lieu de se référer au tarif des frais prévu par le droit cantonal (art. 96 CPC). Aux termes de l’art. 4 TFJC, l’émolument forfaitaire de décision est fixé en fonction de la valeur litigieuse, de la nature, de l’ampleur et de la difficulté de la cause. Il est arrondi au franc inférieur (al. 1) ; la valeur litigieuse est calculée conformément aux art. 91 à 94 CPC (al. 2). L’art. 91 al. 1 CPC pose le principe selon lequel la valeur litigieuse est déterminée par les conclusions, sans que les intérêts, les frais de la procédure voire les conclusions subsidiaires ne soient prises en compte. Selon l’art. 94 al. 1 CPC, lorsque la demande principale et la demande reconventionnelle s’opposent, la valeur litigieuse se détermine d’après la prétention la plus élevée (al. 1). Lorsque les demandes reconventionnelles et principale ne s’excluent pas, leurs valeurs litigieuses respectives sont additionnées pour déterminer les frais (al. 2 ).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op. cit .,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1 er décembre 2023/256 ; CREC 14 août 2023/157 ; Sutter/von Holzen, in : Kommentar zur Schweizerischen Zivilprozessordnung [ZPO], 3 e éd., Zurich 2016, n. 10 ad art. 98 CPC). La notion de demandeur prévalant à l'art. 98 CPC correspond à celle de toute partie ne se bornant pas à conclure à la libération; une telle partie pourra dès lors être astreinte au paiement d'une avance calculée en fonction de la valeur litigieuse de sa propre prétention. Tel sera le cas du défendeur qui présente une demande reconventionnelle selon l'art. 224 al. 1 CPC (Tappy, op. cit ., n. 13 ad art. 98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w:t>
      </w:r>
    </w:p>
    <w:p>
      <w:r>
        <w:rPr>
          <w:b/>
        </w:rPr>
        <w:t>E. 5.2.3</w:t>
      </w:r>
    </w:p>
    <w:p>
      <w:r>
        <w:t>; ATF 141 I 105 consid. 3.3.2 ; ATF 120 la 171 consid. 2a et réf. cit. ; TF 4A_76/2016 du 30 août 2016 consid. 5.1). 7.3 En l’espèce, les appels en cause présents dans chaque mémoire de réponse sont exactement les mêmes, il s’agit en effet des mêmes appelées en cause, pour le même montant des conclusions, portant sur a priori le même objet et les mêmes fondements de responsabilité et certains des recourants I sont les propriétaires constituant la recourante II. Partant, au vu des circonstances particulières du cas d’espèce et au regard du principe d’équivalence, il se justifie ici de ne tenir compte que d’un seul montant de 18'587 fr., et d’astreindre les recourants I et la recourante II à assumer le montant précité solidairement entre eux. 8. 8.1 Eu égard à ce qui précède, les recours doivent être partiellement admis et les décisions entreprises réformées en ce sens qu’une seule avance de frais de 18'587 fr. devra être requise des recourants I et de la recourante II, solidairement entre eux. 8.2 Les frais judiciaires de deuxième instance comprennent l’émolument pour l’effet suspensif de 200 fr. (art. 6 al. 3 et 78 al. 1 TFJC) et l’émolument forfaitaire du présent arrêt de 485 fr. (art. 69 al. 1 et 70 al. 3 TFJC), soit 685 fr., le tout multiplié par deux en raison des deux recours, soit 1'370 fr. au total. Les recourants et la recourante obtenant gain de cause pour quasiment 50%, il convient de ne mettre à leur charge, solidairement entre eux, que la moitié des frais judiciaires, soit 685 francs. Il n’y a pas lieu d’allouer des dépens de deuxième instance, l’Etat ne pouvant pas être considéré comme partie succombante (ATF 140 III 385 consid. 4.2, JdT 2015 II 128). Par ces motifs, la Chambre des recours civile du Tribunal cantonal, prononce : I. Les causes PT23.027173-241136 et PT23.027173-241139 sont jointes. II. Les recours sont partiellement admis. III. Les décisions du 19 août 2024 sont réformées en ce sens qu’une seule avance de frais de 18'587 fr. est requise de K.________ SA, M.________, X.________, Q.________, D.________, N.________, R.________, H.________, A.________, A.V.________ et B.V.________ et de la G.________, solidairement entre eux. IV. Les frais judiciaires de deuxième instance, arrêtés à 1'370 fr. (mille trois cent septante francs), sont mis par 685 fr. (six cent huitante-cinq francs) à la charge de K.________ SA, M.________, X.________, Q.________, D.________, N.________, R.________, H.________, A.________, A.V.________ et B.V.________ et de la G.________, solidairement entre eux, le solde par 685 fr. (six cent huitante-cinq francs) étant à la charge de l’Etat. V. Il n’est pas alloué de dépens de deuxième instance. VI. L’arrêt est exécutoire. La présidente :               Le greffier : Du L'arrêt qui précède, dont la rédaction a été approuvée à huis clos, est notifié à : ‑ Me Théo Meylan (pour K.________ SA et consorts), ‑ Me Feryel Kilani (pour la G.________), ‑ Me Alain Dubuis (pour W.________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r>
        <w:rPr>
          <w:b/>
        </w:rPr>
        <w:t>E. 5.3</w:t>
      </w:r>
    </w:p>
    <w:p>
      <w:r>
        <w:t>En l’espèce, les conclusions de la demande s’élèvent à 705'809 fr. 15. Dans leurs réponses, les recourants I et II ont pris des conclusions reconventionnelles à hauteur de 650'000 fr. contre G.________ SA et ont également formé un appel en cause de L.________ SA et P.________ SA, appel en cause dont la valeur litigieuse est identique à celle de l’action en paiement. Les recourants I et II exposent que l’objet de la demande principale et de la demande reconventionnelle s’excluent, en conséquence il faudrait définir la valeur litigieuse selon la prétention la plus élevée, soit en l’occurrence celle de la demande. Partant, aucune avance de frais ne pourrait leur être requise pour leurs conclusions reconventionnelles. Il ressort des pièces du dossier que la demande tend au paiement d’un montant de 705'809 fr. 15 à titre de dommage résultant des dégâts qui auraient été causés sur le fonds de W.________ SA (parcelle n o 5628) à la suite d’un glissement de terrain causé par le chantier des recourants I et II (parcelle n o 5625). Dans le cadre de leurs prétentions reconventionnelles, les recourants I et II invoquent un dommage résultant des frais supplémentaires qu’ils ont encourus afin de stabiliser le terrain de la parcelle n o 5628. Ainsi, il faut a priori retenir que les prétentions s’excluent puisque ce sera soit à W.________ SA, soit aux recourants I et II qu’il incombera d’assumer la responsabilité (et les coûts) de ce glissement de terrain, de sorte que la valeur litigieuse globale n’augmente pas du fait des conclusions reconventionnelles. Il n’y avait donc pas matière, après avoir perçu une avance de frais par W.________ SA, de requérir une avance de frais pour les conclusions de la demande reconventionnelle. Les recours doivent par conséquent être admis sur ce point. 6. 6.1 Les recourants I et II invoquent ensuite une violation de l’art. 9 al. 2 TFJC. Ils plaident que l’objet de la demande principale et l’objet de l’appel en cause seraient identique et s’excluraient mutuellement, de sorte qu’il faudrait uniquement tenir compte de l’émolument de partie supplémentaire de 9'905 fr. 55. 6.2 L’art. 9 al. 2 TFJC prévoit qu’en cas d’admission d’une requête d’intervention principale ou d’appel en cause, la partie requérante avance l’émolument de décision au fond prévu pour ses conclusions, mais au minimum l’émolument de partie supplémentaire prévu pour ladite décision. Selon l’art. 18 TFJC, l’émolument forfaitaire de décision pour une contestation patrimoniale dont la valeur litigieuse est de 500'001 fr. et plus est fixé à hauteur de 15'500 fr., plus 1,5% de la valeur litigieuse dépassant 500’000 fr., mais au maximum 300'000 francs. Selon l’art. 19 TFJC, lorsque le procès met en cause plus de deux parties, l’émolument forfaitaire de décision est majoré, par partie supplémentaire, à 7'750 fr., plus 0,75% de la valeur litigieuse dépassant 500'000 fr., mais au maximum 150'000 fr., lorsque la valeur litigieuse est de 500'001 fr. et plus. 6.3 En l’espèce, si une avance de frais ne se justifiait pas pour les conclusions reconventionnelles, elle était toutefois nécessaire pour l’appel en cause formé par les recourants I et II. L’art. 9 al. 2 TFJC doit être compris en ce sens que l’avance de frais est fixée selon les art. 18 ou 19 TFJC, l’avance de frais calculée selon l’art. 19 TFJC étant le minimum. En l’occurrence, sous l’angle de l’art. 18 TFJC, le montant de l’avance de frais s’élève à 18'587 fr. 15 [15'500 fr. + (1,5% x 205'809 fr. 15)], tandis que sous l’angle de l’art. 19 TFJC, le montant est de 9'293 fr. 55 [7'750 fr. + [0,75% x 205'809 fr. 15)], multiplié ensuite par deux au vu des deux appelées en cause, soit 18'587 fr. 15 aussi. Il convient partant de retenir le montant de 18'587 fr. pour l’avance de frais. 7. 7.1 Les recourants I et II invoquent une violation des principes de couverture des frais et d’équivalence, respectivement de l’art. 10 TFJC. Ils procèdent notamment à l’addition de diverses avances de frais par rapport au montant total de la valeur litigieuse. 7.2 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et réf. cit.). Le principe de l'équivalence suppose que le montant de chaque émolument soit en rapport avec la valeur objective de la prestation fournie et reste dans des limites raisonnables (ATF 143 I 227 consid.</w:t>
      </w:r>
    </w:p>
    <w:p>
      <w:r>
        <w:rPr>
          <w:b/>
        </w:rPr>
        <w:t>E. 9</w:t>
      </w:r>
    </w:p>
    <w:p>
      <w:r>
        <w:t>al. 1 TFJC (tarif des frais judiciaires civils du 28 septembre 2010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