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844 vom 19. November 2024</w:t>
      </w:r>
    </w:p>
    <w:p>
      <w:r>
        <w:t>VD Tribunal cantonal, 2024-11-19, FR</w:t>
      </w:r>
    </w:p>
    <w:p>
      <w:r>
        <w:rPr>
          <w:b/>
        </w:rPr>
        <w:t xml:space="preserve">Quelle: </w:t>
      </w:r>
      <w:r>
        <w:t>https://mcp.opencaselaw.ch/entscheid/vd_findinfo_HC___2024___844</w:t>
      </w:r>
    </w:p>
    <w:p>
      <w:r>
        <w:t>FR: VD_FINDINFO HC / 2024 / 844 du 19 novembre 2024</w:t>
      </w:r>
    </w:p>
    <w:p>
      <w:r>
        <w:t>IT: VD_FINDINFO HC / 2024 / 844 del 19 novembre 2024</w:t>
      </w:r>
    </w:p>
    <w:p>
      <w:pPr>
        <w:pStyle w:val="Heading2"/>
      </w:pPr>
      <w:r>
        <w:t>Regeste</w:t>
      </w:r>
    </w:p>
    <w:p>
      <w:r>
        <w:t>REPRÉSENTATION DIRECTE, ORGANE{PERSONNE MORALE}, SIGNATURE COLLECTIVE | 32 al. 1 CO, 718 CO, 718a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Déposé en temps utile devant l’autorité compétente pour en connaître par une partie au bénéfice d’un intérêt digne de protection (art. 59 al. 2 let. a CPC), contre une décision finale de première instance rendue dans une cause patrimoniale dont la valeur litigieuse est supérieure à 10'000 fr., l’appel est recevable.</w:t>
      </w:r>
    </w:p>
    <w:p>
      <w:r>
        <w:rPr>
          <w:b/>
        </w:rPr>
        <w:t>E. 2</w:t>
      </w:r>
    </w:p>
    <w:p>
      <w:r>
        <w:t>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et les nombreuses réf. citées) lorsque des faits s’y rapportaient. De même, pour une meilleure compréhension, il a été procédé d’office à la distinction de la raison sociale de la société qui gérait le bureau familial privé de R.________, avant et après sa dissolution. Dès le 18 octobre 2021, la raison d’O.________SA a été complétée par la mention « en liquidation » jusqu’à sa radiation le 5 janvier 2022. 5. 5.1 Dans un premier moyen, l’appelant invoque une violation de l’art. 32 al. 1 CO, faisant valoir qu’il n’était que le représentant direct de R.________. 5.2 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et les réf. citées, JdT 2001 I 144 ; TF 4A_487/2018 du 30 janvier 2019 consid. 5.2.1 ; TF 4A_378/2016 du 11 janvier 2017 consid. 3.2.3.1). Ainsi, deux conditions doivent être réunies pour que l’acte accompli par le représentant lie le représenté selon l’art. 32 al. 1 et 2 CO : il faut, d’une part, que le représentant agisse au nom d’autrui et, d’autre part, qu’il dispose des pouvoirs nécessaires à cet effet (TF 4A_487/2018 précité consid. 5.2.1 ; TF 4A_473/2016 du 16 février 2017 consid. 3.1.2). La manifestation de la volonté d’agir au nom d’autrui peut intervenir de manière expresse ou par actes concluants (tacite). Cette manifestation est expresse lorsque le représentant se fait connaître comme tel (il utilise des expressions comme « au nom de X », « pour X », « par procuration de X »). La manifestation intervient par actes concluants lorsque le tiers doit déduire l’existence d’un rapport de représentation des circonstances (Chappuis, Commentaire romand, Code des obligations I, 3 e éd., Bâle 2021, n. 12 ad art. 32 CO). Lorsque le représentant ne s’est pas fait connaître comme tel, l’application du principe de la confiance permettra de déterminer s’il agissait au nom d’autrui ou en son propre nom, autrement dit si le tiers devait inférer des circonstances l’existence d’un rapport de représentation (ATF 120 II 197 consid. 2b/aa, JdT 1995 I 194 ; TF 4A_638/2015 du 9 mars 2016 consid. 3.2.2 ; TF 4A_313/2010 du 3 septembre 2010 consid. 3.4.1). Exceptionnellement, la loi admet la représentation directe même si le représentant a agi en son propre nom, lorsqu’il était indifférent au tiers de traiter avec le représentant ou le représenté (cf. art. 32 al. 2 in fine CO ; TF 4A_313/2010 précité consid. 3.4.1).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 deuxièmement, si le représenté ratifie l’acte accompli en son nom (art. 38 CO) ; troisièmement, si le tiers de bonne foi pouvait se fier aux pouvoirs qui lui avaient été communiqués, même tacitement, par le représenté (art. 33 al. 3, 34 al. 3 et 37 CO ; ATF 131 III 511 consid. 3.1, SJ 2005 I 589 ; TF 4D_15/2020 du 26 mai 2020 consid. 3.2 ; TF 4A_487/2018 précité consid. 5.2.1). 5.3 Les premiers juges ont retenu que l’appelant n’avait jamais manifesté, expressément ou par actes concluants, à l’intimée sa volonté d’agir au nom de R.________. Par ailleurs, R.________ avait créé une société anonyme suisse, dont le but consistait, en particulier, à la gestion de son bureau familial privé et de sa famille, ainsi qu’en la fourniture de toutes prestations de conseils et de services y relatives. Il aurait été incompréhensible que R.________ donne des pouvoirs de représentation individuels à l’appelant, alors même qu’il possédait une société dont l’essence-même était sa représentation. En outre, l’appelant avait conforté l’intimée dans l’idée qu’il s’exécutait au nom d’O.________SA, et non pas au nom de R.________. Par exemple, l’attestation d’assurance faite par E.________SA pour la voiture de marque [...] mentionnait, en qualité de détenteur du véhicule, la société O.________SA. Toutefois, l’appelant ne pouvait pas engager O.________SA, faute de pouvoir de représentation valable et de ratification postérieure de la société. Ainsi, l’intimée avait agi en bon droit en ne réclamant pas les sommes d’argent directement à R.________, ce dernier n’étant pas son débiteur. Les premiers juges ont donc considéré que l’appelant avait agi personnellement en concluant les différents contrats avec l’intimée et devait être reconnu débiteur de celle-ci. L’appelant ne conteste pas avoir commandé les services dont le paiement est litigieux. Dans son appel (p. 13), il indique en effet qu’« il n’est pas douteux que les parties ont négocié et conclu des contrats en série entre les mois de juillet et novembre 2020 visant principalement à la location de véhicules de luxe pour des courses effectuées en Suisse romande ». Cela étant, l’appelant soutient qu’en réalité, il y avait un rapport de représentation direct entre R.________ et lui. Il fonde l’essentiel de son argumentation sur le fait qu’il aurait toujours présenté ce dernier comme étant son client. L’intimée aurait également mentionné ces termes dans la correspondance entre les parties. Ainsi, les premiers juges se seraient manifestement trompé en affirmant que l’appelant n’avait jamais manifesté à l’intimée, expressément ou par actes concluants, sa volonté d’agir au nom de R.________. Contrairement à ce qu’affirme l’appelant, avoir présenté R.________ comme son client n’est nullement de nature à établir un rapport de représentation. Il n’est pas contesté que R.________ était ce qu’en termes économiques – plutôt que juridiques – on appelle « le client final ». Mais cela ne signifie aucunement que l’on soit, du point de vue juridique, dans un rapport de représentation. Si un garagiste fait savoir à un importateur qu’il a besoin, pour un client, d’un véhicule particulier, cela signifie que cette voiture est destinée au client du garagiste, mais non que le garagiste ne fait que représenter le client en question. Les termes « mon client » impliquaient au contraire que R.________ demeurait le client de l’appelant, et non celui de l’intimée. C’est donc à juste titre que les premiers juges ont considéré qu’à aucun moment l’appelant n’avait manifesté sa volonté d’agir au nom d’un tiers. On relèvera que le premier contrat a été passé alors que l’intimée ignorait jusqu’au nom du « client » en question. A cela s’ajoute, ce qui est en soi décisif, que l’art. 32 al. 1 CO prévoit que ce sont les droits et obligations dérivant d’un contrat fait par un représentant autorisé qui passent au représenté. Or, l’appelant n’a nullement établi l’existence d’un mandat entre lui-même et le nommé R.________, comprenant l’autorisation de représenter ce dernier. L’appelant reproche au tribunal de ne pas avoir considéré que l’envoi d’une facture à R.________ démontrait l’existence d’un rapport de représentation. Il convient toutefois de replacer les événements dans leur contexte. C’est seulement après s’être adressé, en vain, sur les instructions de l’appelant, à la société O.________SA, et après que l’appelant a, lui, prétendu qu’il lui avait versé 50'000 fr. qui ne sont jamais parvenus à l’intimée – ce qui, au demeurant, apparaît de nature à exclure le prétendu rapport de représentation –, que l’intimée a tenté de s’adresser à R.________. Il s’agissait d’une tentative désespérée – et légitime – pour obtenir un paiement.</w:t>
      </w:r>
    </w:p>
    <w:p>
      <w:r>
        <w:rPr>
          <w:b/>
        </w:rPr>
        <w:t>E. 3.1</w:t>
      </w:r>
    </w:p>
    <w:p>
      <w:r>
        <w:t>; CACI 9 novembre 2023/457 consid. 2.3 ; CACI 7 novembre 2022/549 consid. 2.2).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11 mars 2024/24 consid. 1.1 ; CACI 20 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précité consid. 2.3.3 ; ATF 138 III 374 précité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(ATF 147 III 176 consid. 4.2.1, RSPC 2021 p. 252 ; TF 4A_333/2023 précité consid. 5.1 ; TF 5A_524/2023 du 14 décembre 2023 consid. 3.3.1). La motivation est une condition légale de recevabilité de l’appel, qui doit être examinée d’office (TF 5A_779/2021 et 5A_787/2021 du 16 décembre 2022 consid. 4.3.1 ; TF 5A_577/2020 du 16 décembre 2020 consid. 5). Ainsi, notamment, lorsque la motivation de l’appel est identique aux moyens qui avaient déjà été présentés en première instance, avant la reddition de la décision attaquée (TF 4A_621/2021 du 30 août 2022 consid. 3.1;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5A_779/2021 et 5A_787/2021 précités consid. 4.3.1).</w:t>
      </w:r>
    </w:p>
    <w:p>
      <w:r>
        <w:rPr>
          <w:b/>
        </w:rPr>
        <w:t>E. 3.1.1</w:t>
      </w:r>
    </w:p>
    <w:p>
      <w:r>
        <w:t>et les réf. citées). Leurs pouvoirs peuvent toutefois être limités (cf. art. 718 a al. 2 CO).</w:t>
      </w:r>
    </w:p>
    <w:p>
      <w:r>
        <w:rPr>
          <w:b/>
        </w:rPr>
        <w:t>E. 3.2</w:t>
      </w:r>
    </w:p>
    <w:p>
      <w:r>
        <w:t>L’écriture de l’appelant contient une partie intitulée « faits pertinents ». L’appelant y retrace en deux chapitres (lettres A et B) sa version des faits, accompagnée, pour chaque allégation, d’un ou de plusieurs moyens de preuve. Ce faisant, il expose un état de fait de son cru, mêlé de ses propres appréciations, cela sur trente-neuf allégués et plus de sept pages (pp.</w:t>
      </w:r>
    </w:p>
    <w:p>
      <w:r>
        <w:rPr>
          <w:b/>
        </w:rPr>
        <w:t>E. 6</w:t>
      </w:r>
    </w:p>
    <w:p>
      <w:r>
        <w:t>à 13 de l’appel). Or, de tels procédés ne satisfont pas aux prescriptions de motivation de l’art. 311 CPC. En effet, cette partie de l’appel ne contient aucun grief clairement formulé : elle consiste en une énumération de faits et de considérations, sans que l’appelant ne mentionne si ceux-ci figurent déjà dans le jugement attaqué ou s’il entend le voir complété ou rectifié. Conformément à la jurisprudence précitée, l’appelant ne peut retranscrire ce qu’il considère être les « faits pertinents », sans rien indiquer sur le fondement de ses éventuels reproches. Il n’appartient pas à la Cour de céans de comparer l’état de fait du jugement à celui présenté par l’appelant (CACI 31 mai 2022/289 consid. 4 ; CACI 29 juin 2017/273 consid. 3). Cette partie de l’appel est irrecevable. 4. 4.1 Il y a ensuite lieu de procéder à des corrections d’office résultant de plusieurs inadvertances manifestes des premiers juges. 4.2 En ce qui concerne les faits, le juge d’appel n’est pas lié par les constats du premier juge, même si, à défaut de griefs des parties quant à l’établissement des faits, la décision de première instance sert en général de base à la procédure de deuxième instance (ATF 144 III 394 consid. 4.1.4, JdT 2019 II 147). Cela étant, le juge d’appel est également lié par la maxime de disposition et n’est pas autorisé à corriger d’office les faits établis en première instance (TF 5A_824/2018 du 5 mars 2019 consid. 4.3.2). L’appel n’est donc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précité consid. 4.1.4 ; ATF 142 III 413 consid. 2.2.4, JdT 2017 II 153, SJ 2017 I 16 ; TF 5A_790/2023 du 23 mai 2024 consid. 5.2). 4.3 En l’espèce, il y a lieu de revenir sur les faits suivants retenus par le tribunal (chiffre 4.g) : « Malgré de nombreuses réclamations de la demanderesse quant au paiement de ses services, elle a continué à fournir des prestations pour R.________ et ce, du mois de septembre 2020 jusqu’au mois de novembre 2020. La demanderesse a ainsi continué à entretenir une relation d’affaires avec R.________ par l’intermédiaire du défendeur ». Pour retenir ces faits, les premiers juges se sont fondés sur deux allégués formulés par l’appelant, ainsi libellés : « Si le litige est survenu, du point de vue de la demanderesse, en date du 11 août 2020, ceci ne l’a pas empêchée de poursuivre l’exécution de prestations en faveur de M. R.________ et ce pendant les trois mois qui ont suivi » (réponse du 16 mars 2022, all. 80) et « Ce n’est pas tout, la demanderesse a continué à entretenir une relation d’affaires avec R.________ par l’intermédiaire du défendeur » (réponse du 16 mars 2022, all. 81). Les allégués suivants (82 et 83) portent sur un prêt qui aurait été sollicité par l’intimée auprès de R.________ en vue de l’achat d’une autre entreprise. L’allégué 81 – admis par l’intimée (cf. déterminations du 26 août 2022) – ne concerne donc pas la mise à disposition de véhicules avec chauffeur, sur laquelle porte l’allégué 80, mais autre chose, soit un contrat de prêt. Les termes « Ce n’est pas tout » laissent à cet égard entendre qu’il s’agit d’un autre sujet. Les premiers juges ont donc établi les faits de manière inexacte en tenant pour équivalentes la continuation de la fourniture de prestations pour R.________ et la poursuite d’une relation d’affaires entre ce dernier et l’intimée. Dans les faits qui précèdent, on a donc remplacé le mot « ainsi » par « par ailleurs ». 4.4 Enfin, pour plus de clarté, il a été fait référence aux publications parues dans la FOSC, celles-ci constituant des faits notoires (cf. TF 4A_639/2023 précité consid.</w:t>
      </w:r>
    </w:p>
    <w:p>
      <w:r>
        <w:rPr>
          <w:b/>
        </w:rPr>
        <w:t>E. 6.1</w:t>
      </w:r>
    </w:p>
    <w:p>
      <w:r>
        <w:t>Dans un second grief, l’appelant invoque implicitement une violation des art. 718 et 718 a CO, soutenant avoir agi comme organe d’O.________SA en tant que membre de son conseil d’administration.</w:t>
      </w:r>
    </w:p>
    <w:p>
      <w:r>
        <w:rPr>
          <w:b/>
        </w:rPr>
        <w:t>E. 6.2.1</w:t>
      </w:r>
    </w:p>
    <w:p>
      <w:r>
        <w:t>Selon l’art. 718 al. 1 CO, le conseil d’administration représente la société à l’égard des tiers (1 e phrase). Sauf disposition contraire des statuts ou du règlement d’organisation, chaque membre du conseil d’administration a le pouvoir de représenter la société (2 e phrase). En vertu de l’art. 718 CO, comme d’ailleurs de l’art. 55 al. 2 CC (Code civil suisse du 10 décembre 1907 ; RS 210), l’acte de l’organe est directement attribué à la personne morale comme son acte propre ; autrement dit, les organes ne sont pas des représentants au sens des art. 32 ss CO, mais lorsqu’ils agissent, c’est la société elle-même qui agit (ATF 146 III 37 consid. 5.1.1). Les déclarations, la connaissance et la connaissance attendue de l’organe sont donc directement celles de la société anonyme (TF 4A_488/2022 du 12 mai 2023 consid. 4.3.2). Sont des organes, au sens de l’art. 718 CO, qui peuvent représenter la SA à l’égard des tiers (TF 4A_455/2018 du 9 octobre 2019 consid. 5.1.1) : -               premièrement, chacun des membres du conseil d’administration (« sauf disposition contraire des statuts ou du règlement d’organisation ») (art. 718 al. 1, 2 e phrase, CO) ou, exceptionnellement, le conseil d’administration in corpore (art. 718 al. 1, 1 e phrase, CO ; ATF 141 III 80 consid. 1.3) ; - deuxièmement, un ou des membres délégués du conseil d’administration ou des tiers directeurs, auxquels le conseil d’administration a délégué son pouvoir de représentation (art. 718 al. 2 CO). Ces organes (exécutifs) ont en principe le droit d’accomplir au nom de la société anonyme tous les actes que peut impliquer le but social (art. 718 a al. 1 CO ; TF 4A_455/2018 précité consid. 5.1.1 ; TF 4A_147/2014 du 19 novembre 2014 consid.</w:t>
      </w:r>
    </w:p>
    <w:p>
      <w:r>
        <w:rPr>
          <w:b/>
        </w:rPr>
        <w:t>E. 6.2.2</w:t>
      </w:r>
    </w:p>
    <w:p>
      <w:r>
        <w:t>Conformément à l’art. 718 a CO, les personnes autorisées à représenter la société ont le droit d’accomplir au nom de celle-ci tous les actes que peut impliquer le but social (al. 1). Une limitation de ces pouvoirs n’a aucun effet envers les tiers de bonne foi ; font exception les clauses inscrites au registre du commerce qui concernent la représentation exclusive de l’établissement principal ou d’une succursale ou la représentation commune de la société (al. 2). L’art. 718 a al. 2 CO permet d’inscrire au registre du commerce – et donc d’opposer aux tiers (cf. art. 933 al. 1 CO) – une forme particulière de restriction du pouvoir de représentation, à savoir la représentation collective (ou commune) de la société (cf. ATF 121 III 368 consid. 3 et 4, JdT 1996 I 189, SJ 1996 177). Cela signifie que pour engager la société, plusieurs représentants autorisés doivent agir ensemble en apposant collectivement leur signature (TF 4A_87/2011 du 16 mai 2011 consid. 2.1 ; Peter/Birchler, Commentaire romand, Code des obligations II, 3 e éd., Bâle 2024 [ci-après : CR-CO II], n. 21 ad art. 718 a CO). Lorsque la société a prévu un régime de signatures collectives, celle d’un seul représentant ne lie pas la société (Peter/Birchler, CR-CO II, n. 25 ad art. 718 a CO).</w:t>
      </w:r>
    </w:p>
    <w:p>
      <w:r>
        <w:rPr>
          <w:b/>
        </w:rPr>
        <w:t>E. 6.3</w:t>
      </w:r>
    </w:p>
    <w:p>
      <w:r>
        <w:t>Le tribunal a retenu que l’appelant n’avait jamais engagé la société O.________SA. Premièrement, si l’appelant avait certes demandé à l’intimée de facturer les services fournis à O.________SA, celle-ci avait expressément indiqué à l’intimée n’avoir jamais fait appel à ses services et l’avait priée de facturer à qui de droit. O.________SA avait ainsi expressément indiqué qu’elle refusait de ratifier les actes de l’appelant. Deuxièmement, l’appelant n’était pas autorisé à représenter O.________SA et sa seule signature ne pouvait pas lier la société. En effet, l’appelant n’était au bénéfice que de la signature collective à deux. L’appelant fait valoir qu’il aurait valablement engagé, en sa qualité d’organe, la société O.________SA. Aussi explique-t-il que la question d’une solidarité entre R.________ et O.________SA en liquidation peut rester ouverte au vu des circonstances, notamment de la faillite de cette dernière. L’appelant invoque tout d’abord que, dans la mesure où les premiers juges ont admis qu’I.________ avait valablement représenté l’intimée alors même qu’il n’était pas inscrit au Registre du commerce, ils auraient dû retenir que lui-même pouvait engager O.________SA dès lors qu’il bénéficiait de la signature collective auprès de cette société. Outre que le raisonnement est sans pertinence aucune, l’intimée a de son côté ratifié en procédure tous les actes d’I.________, alors qu’O.________SA n’a à aucun moment ratifié les actes de l’appelant. L’appelant fait en outre valoir qu’en omettant de vérifier qu’il n’était pas habilité à représenter seul O.________SA, l’intimée aurait « fait preuve d’une négligence coupable ». Il n’en est rien. Comme l’ont retenu à juste titre les premiers juges, l’appelant ne disposait que de la signature collective à deux au moment des commandes. Son pouvoir de représentation était ainsi limité et il n’était pas autorisé à représenter seul O.________SA. Par ailleurs, l’appelant n'a pas indiqué à l’intimée qu’il agissait au nom d’O.________SA. Il a seulement demandé que les factures soient envoyées à cette société, au demeurant précisément « à l’attention de A.________ ». O.________SA a ensuite clairement fait savoir à l’intimée qu’elle n’était pas concernée. En inscrivant une restriction du pouvoir de représentation de l’appelant au Registre du commerce et en ne ratifiant expressément pas ses actes, O.________SA n’a aucunement créé ou laissé créer l’apparence que l’appelant avait la compétence de la représenter seul en tant qu’organe. L’argument de l’appelant selon lequel il aurait agi en « parfaite adéquation » avec le but statutaire de la société n’y change rien, dès lors que celle-ci avait publiquement prévu qu’il ne puisse pas accomplir seul des actes en son nom. Partant, le grief est rejeté.</w:t>
      </w:r>
    </w:p>
    <w:p>
      <w:r>
        <w:rPr>
          <w:b/>
        </w:rPr>
        <w:t>E. 7</w:t>
      </w:r>
    </w:p>
    <w:p>
      <w:r>
        <w:t>Dans un troisième moyen, l’appelant soutient que l’intimée aurait adopté un comportement inhabituel et contraire aux règles de la branche en continuant à fournir des prestations à R.________ malgré des factures impayées. Selon lui, il ne lui appartiendrait pas, en tant qu’intermédiaire, d’assumer les conséquences de l’attitude risquée de l’intimée, guidée par l’appât du gain. Le grief de l’appelant ne porte pas. Comme précédemment exposé, l’appelant n’a agi ni comme représentant de R.________ ni en tant qu’organe d’O.________SA ; il s’est au contraire engagé personnellement, de sorte qu’il répondait pleinement de ses actes, et non comme un simple intermédiaire. On ne saurait soutenir par ailleurs que les commandes passées auprès de l’intimée n’auraient pas eu pour effet d’engager valablement l’appelant, du simple fait que l’intimée n’avait pas été payée pour ses prestations précédentes. Il suit de là que le grief doit être rejeté.</w:t>
      </w:r>
    </w:p>
    <w:p>
      <w:r>
        <w:rPr>
          <w:b/>
        </w:rPr>
        <w:t>E. 8</w:t>
      </w:r>
    </w:p>
    <w:p>
      <w:r>
        <w:t>Enfin, l’appelant conteste l’appréciation des preuves faite par les premiers juges qui ont considéré qu’il avait été admis en procédure par les deux parties que les prestations facturées par l’intimée avaient été commandées à 80 % par l’appelant, puis, le 20 % restant, par R.________ personnellement (jugement, chiffre 4.k et consid. 3.h [ recte : consid. 3.c]). Il est vrai qu’il ne ressort pas de la cause que les deux parties auraient admis en procédure que les prestations facturées par l’intimée auraient été commandées à 80 % par l’appelant et à 20 % par R.________. Cette proportion ressort du témoignage d’I.________ qui a expliqué, lors de son interrogatoire le 6 février 2022, que le 80 % des prestations avait été commandé par l’appelant, précisant qu’il avait par la suite eu un contact directement avec R.________. Les premiers juges ont considéré que ce témoignage devait être retenu dans la mesure où il était confirmé par d’autres éléments du dossier (jugement, chiffre 7.j). L’appelant conteste ce témoignage, en faisant valoir que R.________ est au cœur du litige. Le tribunal ne relève pas quels pourraient être les « autres éléments » du dossier qui confirmeraient le témoignage d’I.________. La répartition opérée par les premiers juges doit toutefois être confirmée. En effet, le montant réclamé par l’intimée en première instance correspondait à des relevés des 18 août et 3 novembre 2020. Or, l’appelant admet qu’« il n’est pas douteux que les parties ont négocié et conclu des contrats en série entre les mois de juillet et novembre 2020 visant principalement à la location des véhicules de luxe pour des courses effectuées en Suisse romande » (appel, p. 13). Les montants facturés ne sont par ailleurs pas litigieux. Cela signifie que si les premiers juges admettaient – comme ils l’ont fait à juste titre – que l’appelant avait agi en son nom et pour son propre compte, celui-ci devait en principe le paiement de l’entier des montants réclamés. De fait, les premiers juges ont admis qu’I.________ était habilité à s’exprimer au nom de l’intimée. Son témoignage équivalait donc à une admission de celle-ci, selon laquelle 20 % des montants réclamés correspondaient à des commandes passées directement par R.________, et ils ont réduit en proportion ce que devait l’appelant. Celui-ci ne saurait, au stade de l’appel, faire valoir que cette proportion serait supérieure, et d’ailleurs il ne le fait pas, ne donnant aucune indication à ce sujet. Ce grief doit, lui aussi, être rejeté.</w:t>
      </w:r>
    </w:p>
    <w:p>
      <w:r>
        <w:rPr>
          <w:b/>
        </w:rPr>
        <w:t>E. 9</w:t>
      </w:r>
    </w:p>
    <w:p>
      <w:r>
        <w:t>Au vu de ce qui précède, l’appel, manifestement infondé, doit être rejeté en application de l’art. 312 al. 1 in fine CPC et le jugement entrepris confirmé. Les frais judiciaires de deuxième instance, arrêtés à 1'515 fr. (art. 62 al. 1 TFJC [tarif des frais judiciaires civils du 28 septembre 2010 ; BLV 270.11.5]), sont mis à la charge de l’appelant, qui succombe (art. 106 al. 1 et 3 in fine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