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836 vom 8. November 2024</w:t>
      </w:r>
    </w:p>
    <w:p>
      <w:r>
        <w:t>VD Tribunal cantonal, 2024-11-08, FR</w:t>
      </w:r>
    </w:p>
    <w:p>
      <w:r>
        <w:rPr>
          <w:b/>
        </w:rPr>
        <w:t xml:space="preserve">Quelle: </w:t>
      </w:r>
      <w:r>
        <w:t>https://mcp.opencaselaw.ch/entscheid/vd_findinfo_HC___2024___836</w:t>
      </w:r>
    </w:p>
    <w:p>
      <w:r>
        <w:t>FR: VD_FINDINFO HC / 2024 / 836 du 8 novembre 2024</w:t>
      </w:r>
    </w:p>
    <w:p>
      <w:r>
        <w:t>IT: VD_FINDINFO HC / 2024 / 836 del 8 novembre 2024</w:t>
      </w:r>
    </w:p>
    <w:p>
      <w:pPr>
        <w:pStyle w:val="Heading2"/>
      </w:pPr>
      <w:r>
        <w:t>Regeste</w:t>
      </w:r>
    </w:p>
    <w:p>
      <w:r>
        <w:t>REVENU HYPOTHÉTIQUE, ACTION EN MODIFICATION, PROTECTION DE L'UNION CONJUGALE | 179 al. 1 CC, 276 CPC (CH)</w:t>
      </w:r>
    </w:p>
    <w:p>
      <w:pPr>
        <w:pStyle w:val="Heading2"/>
      </w:pPr>
      <w:r>
        <w:t>Erwägungen</w:t>
      </w:r>
    </w:p>
    <w:p>
      <w:r>
        <w:rPr>
          <w:b/>
        </w:rPr>
        <w:t>E. 1.1</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Formé en temps utile par une partie disposant d’un intérêt digne de protection (art. 59 al. 2 let. a CPC) contre une ordonnance de mesures provisionnelles et portant sur des conclusions qui, capitalisées selon l’art. 92 al. 2 CPC, sont supérieures à 10'000 fr.,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L’appelant considère que c’est à tort que la première juge a considéré qu’il n’existait pas de faits nouveaux justifiant une modification des modalités de séparation applicables aux parties.</w:t>
      </w:r>
    </w:p>
    <w:p>
      <w:r>
        <w:rPr>
          <w:b/>
        </w:rPr>
        <w:t>E. 3.2</w:t>
      </w:r>
    </w:p>
    <w:p>
      <w:r>
        <w:t>Les règles relatives à la modification des mesures protectrices de l’union conjugale s’appliquent par analogie en cas de changement pendant une procédure de divorce (art. 179 al. 1 CC et art. 276 CPC ; ATF 143 III 617 consid. 3.1 et les réf. cit. ; TF 5A_895/2022 du 17 juillet 2023 consid. 10.2.1 et les réf. cit.).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est apparue plus tard injustifiée parce que le juge appelé à statuer n’a pas eu connaissance de faits importants (ATF 143 III 617 consid. 3.1 et les réf. cit. ; TF 5A_895 2022 précité consid. 10.2.1 et les réf. cit. ; TF 5A_42/2022 du 19 mai 2022 consid. 4.1). Le moment déterminant pour apprécier si les circonstances nouvelles se sont produites est la date du dépôt de la demande de modification (ATF 137 III 604 consid. 4.1.1 et les réf. cit. ; TF 5A_779/2023 du 30 avril 2024 consid. 4.1.1 ; TF 5A_42/2022 précité consid. 4.1). Il n’y a pas lieu d’adapter la situation lorsque les faits ont été conventionnellement définis pour clarifier un état de fait incertain (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 TF 5A_563/2020 du 29 avril 2021 consid. 3.1 ; TF 5A_688/2013 du 14 avril 2014 consid. 8.2, en matière de divorce.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5A_895/2022 précité consid. 10.2.1 ; TF 5A_42/2022 précité consid. 4.1).</w:t>
      </w:r>
    </w:p>
    <w:p>
      <w:r>
        <w:rPr>
          <w:b/>
        </w:rPr>
        <w:t>E. 3.3.1</w:t>
      </w:r>
    </w:p>
    <w:p>
      <w:r>
        <w:t>En l’espèce, la requête de mesures provisionnelles litigieuse a été formée le 4 décembre 2023 par l’appelant. En conséquence, c’est à cette date que des faits nouveaux devaient exister pour qu’il puisse être entré en matière sur une modification des mesures convenues et ordonnées pendant la séparation. Il en résulte que les modifications dont se prévaut l’appelant et qui sont postérieures à la date précitée n’ont aucune pertinence pour déterminer s’il convenait d’entrer en matière sur sa requête. Ainsi, les griefs liés à l’augmentation du taux d’activité de l’intimée et à l’entrée de B.S.________ dans le secondaire ne peuvent qu’être écartés.</w:t>
      </w:r>
    </w:p>
    <w:p>
      <w:r>
        <w:rPr>
          <w:b/>
        </w:rPr>
        <w:t>E. 3.3.2</w:t>
      </w:r>
    </w:p>
    <w:p>
      <w:r>
        <w:t>L’appelant considère tout d’abord qu’il existerait un fait nouveau en relation avec l’augmentation de sa charge fiscale. Il se fonde sur la détermination de ses acomptes 2023. Cela étant, d’une part, le bordereau d’acompte dont il se prévaut date du 17 novembre 2022, soit bien avant le dépôt de la requête litigieuse, si bien que l’on peut s’interroger sur le caractère nouveau du fait invoqué, mais d’autre part, et surtout, l’appelant ne critique aucunement la motivation retenue par la première juge pour écarter l’existence d’une modification de l’état de fait. On relèvera à ce titre que les explications fournies quant aux taxations intervenues en 2024 ne sauraient être prises en compte, ces éléments étant postérieurs au dépôt de la requête. En conséquence, l’appelant ne développe sur ce point aucun grief suffisamment motivé à l’encontre de la décision attaqué. Son grief est donc irrecevable.</w:t>
      </w:r>
    </w:p>
    <w:p>
      <w:r>
        <w:rPr>
          <w:b/>
        </w:rPr>
        <w:t>E. 3.3.3</w:t>
      </w:r>
    </w:p>
    <w:p>
      <w:r>
        <w:t>L’appelant se prévaut également d’une augmentation des frais accessoires de son logement, de 300 fr. à 400 fr. par mois, intervenue le 1 er décembre 2023. On ne perçoit toutefois pas, et l’appelant ne l’explique pas, de quelle manière cette modification serait suffisamment significative pour justifier de revoir l’ensemble de la situation des parties.</w:t>
      </w:r>
    </w:p>
    <w:p>
      <w:r>
        <w:rPr>
          <w:b/>
        </w:rPr>
        <w:t>E. 3.3.4</w:t>
      </w:r>
    </w:p>
    <w:p>
      <w:r>
        <w:t>S’agissant de ses charges, l’appelant fait enfin valoir qu’il devrait s’acquitter de frais de buanderie à hauteur de 50 francs. Il ne saurait toutefois plaider raisonnablement qu’il s’agit d’un changement significatif de sa situation financière. Au surplus, il n’établit aucunement qu’il s’agirait d’une charge nouvelle respectivement pour quel motif elle devrait être prise en compte.</w:t>
      </w:r>
    </w:p>
    <w:p>
      <w:r>
        <w:rPr>
          <w:b/>
        </w:rPr>
        <w:t>E. 3.4</w:t>
      </w:r>
    </w:p>
    <w:p>
      <w:r>
        <w:t>L’appelant invoque enfin que le dépôt de la demande en divorce impliquerait que les conditions relatives au calcul des contributions d’entretien seraient différentes. L’argument est téméraire. En effet, durant la séparation, y compris en cas de mesures provisionnelles durant la procédure de divorce, ces contributions sont calculées selon la méthode du minimum vital avec partage de l’excédent (cf. par exemple TF 5A_945/2022 du 2 avril 2024). Pour le reste, encore une fois, l’appelant se prévaut de faits postérieurs au dépôt de la requête du 4 décembre 2023, qui ne sauraient être pris en compte. En particulier, il développe une argumentation quant au taux d’activité de l’intimée, qui a augmenté au 1 er janvier 2024, et en particulier sur le taux qui devrait en réalité être retenu à titre hypothétique. Toutefois, ce raisonnement n’est aucunement étayé. Par ailleurs, l’éventualité du calcul d’un revenu hypothétique ne constitue pas en l’état un fait nouveau, ceci d’autant que l’appelant ne s’en prend en réalité pas au raisonnement de la première juge, contrairement à son obligation de motivation, ne faisant que substituer sa propre opinion à celle de la première juge. Le grief ne peut donc qu’être écarté, dans la mesure de sa recevabilité.</w:t>
      </w:r>
    </w:p>
    <w:p>
      <w:r>
        <w:rPr>
          <w:b/>
        </w:rPr>
        <w:t>E. 4.1</w:t>
      </w:r>
    </w:p>
    <w:p>
      <w:r>
        <w:t>Il résulte de ce qui précède que l’appel doit être rejeté dans la mesure de sa recevabilité.</w:t>
      </w:r>
    </w:p>
    <w:p>
      <w:r>
        <w:rPr>
          <w:b/>
        </w:rPr>
        <w:t>E. 4.2</w:t>
      </w:r>
    </w:p>
    <w:p>
      <w:r>
        <w:t>Les frais judicaires de deuxième instance, arrêtés à 600 fr. (art. 65 al. 2 TFJC [tarif des frais judiciaires civils du 28 septembre 2010 ; BLV 270.11.5]), seront mis à la charge de l’appelant, qui succombe (art. 106 al. 1 CPC). Il n’y a pas lieu à l’allocation de dépens de deuxième instance, l’intimée n’ayant pas été invitée à se déterminer sur l’appel. Par ces motifs, le juge unique de la Cour d’appel civile prononce : I. L’appel est rejeté dans la mesure de sa recevabilité. II. L’ordonnance est confirmée. III. Les frais judiciaires de deuxième instance, arrêtés à 600 fr. (six cents francs), sont mis à la charge de l’appelant X.________. IV. L’arrêt est exécutoire. Le juge unique :               Le greffier : Du Le présent arrêt, dont la rédaction a été approuvée à huis clos, est notifié en expédition complète à : ‑ Me Cyrielle Kern (pour X.________), ‑ Me José Coret (pour Q.________),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