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807 vom 15. Oktober 2024</w:t>
      </w:r>
    </w:p>
    <w:p>
      <w:r>
        <w:t>VD Tribunal cantonal, 2024-10-15, FR</w:t>
      </w:r>
    </w:p>
    <w:p>
      <w:r>
        <w:rPr>
          <w:b/>
        </w:rPr>
        <w:t xml:space="preserve">Quelle: </w:t>
      </w:r>
      <w:r>
        <w:t>https://mcp.opencaselaw.ch/entscheid/vd_findinfo_HC___2024___807</w:t>
      </w:r>
    </w:p>
    <w:p>
      <w:r>
        <w:t>FR: VD_FINDINFO HC / 2024 / 807 du 15 octobre 2024</w:t>
      </w:r>
    </w:p>
    <w:p>
      <w:r>
        <w:t>IT: VD_FINDINFO HC / 2024 / 807 del 15 ottobre 2024</w:t>
      </w:r>
    </w:p>
    <w:p>
      <w:pPr>
        <w:pStyle w:val="Heading2"/>
      </w:pPr>
      <w:r>
        <w:t>Regeste</w:t>
      </w:r>
    </w:p>
    <w:p>
      <w:r>
        <w:t>MESURE PRÉPROVISIONNELLE, VOIE DE DROIT, DÉCISION D'IRRECEVABILITÉ | 265 CPC (CH), 319 CPC (CH)</w:t>
      </w:r>
    </w:p>
    <w:p>
      <w:pPr>
        <w:pStyle w:val="Heading2"/>
      </w:pPr>
      <w:r>
        <w:t>Volltext</w:t>
      </w:r>
    </w:p>
    <w:p>
      <w:r>
        <w:t>Vaud Tribunal cantonal Chambre des recours civile HC / 2024 / 807</w:t>
      </w:r>
    </w:p>
    <w:p>
      <w:r>
        <w:t>MESURE PRÉPROVISIONNELLE, VOIE DE DROIT, DÉCISION D'IRRECEVABILITÉ | 265 CPC (CH), 319 CPC (CH)</w:t>
      </w:r>
    </w:p>
    <w:p>
      <w:r>
        <w:t>TRIBUNAL CANTONAL JS24.043415-241343 249 CHAMBRE DES RECOURS CIVILE _________________________________________ Arrêt du 15 octobre 2024 __________________ Composition :               Mme CHERPILLOD , présidente Mme Crittin Dayen et M. Segura, juges Greffière :              Mme Bannenberg ***** Art. 265 et 319 CPC Statuant à huis clos sur le recours interjeté par E.________ , à [...], contre l’ordonnance de mesures superprovisionnelles rendue le 27 septembre 2024 par la Présidente du Tribunal civil de l’arrondissement de Lausanne dans la cause divisant le recourant d’avec Z.________ , à [...], la Chambre des recours civile du Tribunal cantonal considère : En fait et en droit : 1. E.________ et Z.________ sont les parents non mariés de l’enfant B.________, né le 18 février 2019. 2. Par convention du 20 septembre 2023, ratifiée le même jour par le Président du Tribunal civil de l’arrondissement de Lausanne pour valoir jugement au fond et ordonnance de mesures provisionnelles, E.________ et Z.________ sont, notamment et en substance, convenus d’exercer l’autorité parentale conjointe et une garde alternée sur leur fils, dont le domicile légal était fixé auprès de la mère. Le père s’est en outre engagé, dans le cadre de son exercice de la garde de B.________, à chercher l’enfant au domicile maternel ou à l’école et à l’y ramener. 3. 3.1 Au mois de septembre 2024, Z.________, jusqu’alors domiciliée à [...], a déménagé à [...]. Par courrier du 23 septembre 2024, Z.________ a été informée par la directrice de l’Etablissement primaire de [...] que l’enfant B.________ y était attendu le lundi 30 septembre 2024 à 08 h 00, au secrétariat de l’école. L’intéressée a transmis une copie de ce courrier le 24 septembre 2024 à E.________. 3.2 Par acte du 27 septembre 2024, E.________ a saisi la Présidente du Tribunal civil de l’arrondissement de Lausanne (ci-après : la présidente) d’une requête de mesures superprovisionnelles et provisionnelles dirigée contre Z.________, tendant en substance à ce que le domicile légal de l’enfant B.________ soit transféré auprès de son père, au maintien de la garde alternée, à la réinscription de l’enfant auprès de son ancienne école à [...] et à ce qu’interdiction soit faite à la mère de déménager hors de [...] avec B.________, subsidiairement à ce qu’ordre soit donné à la mère de ramener l’enfant au domicile de son père. 3.3 Par décision du 27 septembre 2024, la présidente a rejeté la requête d’extrême urgence. Par pli recommandé du 2 octobre 2024, les parties ont été citées à comparaître à l’audience de mesures provisionnelles du 24 octobre 2024. 4. 4.1 Par acte du 10 octobre 2024, E.________ (ci-après : le recourant) a interjeté recours de l’ordonnance du 27 septembre 2024 en concluant, en substance et avec suite de frais et dépens, principalement à sa réforme, en ce sens que le transfert du domicile légal de l’enfant B.________ auprès de son père soit ordonné, que le maintien de la garde alternée soit prononcé, qu’ordre soit donné aux parents de l’enfant de le réinscrire auprès de son ancienne école à [...], et qu’interdiction soit faite à Z.________ (ci-après : l’intimée) de déménager hors de [...] avec l’enfant, subsidiairement qu’il lui soit ordonné de ramener l’enfant au domicile de son père. A titre plus subsidiaire, le recourant a conclu à l’annulation de l’ordonnance querellée et au renvoi de la cause à la présidente pour nouvelle décision. Par décision du 11 octobre 2024, la Juge déléguée de la Chambre de céans a rejeté la requête d’effet suspensif contenue dans le recours. 4.2 Le recourant a requis le bénéfice de l’assistance judiciaire en deuxième instance. 5. 5.1 Selon l’art. 319 CPC (Code de procédure civile du 19 décembre 2008 ; RS 272), le recours est ouvert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 ainsi que contre le retard injustifié du tribunal (let. c). Le CPC ne prévoit aucune voie de droit contre les jugements cantonaux de première instance portant sur des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[loi sur le Tribunal fédéral du 17 juin 2005 ; RS 173.110] ; ATF 137 III 417 consid. 1.2 ; TF 5A_473/2010 du 23 juillet 2010 consid. 1.1 ; TF 4A_335/2007 du 13 septembre 2007 consid. 3 et les références citées).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 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(sur le tout : CREC 31 mai 2024/127 ; CREC 22 décembre 2023/271, JdT 2024 III 28). Le Tribunal fédéral a définitivement fixé ce principe pour les recours déférés devant lui et il le pose sous forme d’ obiter dictum pour les instances cantonales. Cependant, une voie de droit doit être ouverte tant au niveau cantonal que fédéral lorsque le droit allégué serait perdu à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Bohnet in Bohnet et al., Commentaire romand, Code de procédure civile, 2 e éd., Bâle 2019, nn. 15 et 16 ad art. 265 CPC ; Dobrzynski/Tseytlina, Le point sur le recours ex parte contre le refus de mesures superprovisionnelles, in Catelli/Sunaric [édit.], Vorsorgliche Massnahmen – Fallstricke in der Praxis, Zurich/St.Gall 2023, p. 121) (sur le tout : CREC 31 mai 2024/127 ; CREC 22 décembre 2023/271, JdT 2024 III 28). 5.2 Invoquant l’art. 319 let. b ch. 2 CPC, le recourant fait en substance valoir que l’intimée l’aurait mis devant le fait accompli en déménageant sans recueillir son consentement, au mépris de l’autorité parentale conjointe exercée par les parties sur leur fils. L’intéressée priverait le recourant de son enfant, singulièrement de son droit de garde ; à cet égard, le recourant fait valoir que la distance séparant [...] de [...], combinée à ses horaires de travail, tendraient de facto à l’empêcher de voir et de s’occuper de B.________. Cette situation exposerait le recourant à un préjudice « très difficilement réparable », matérialisé dans le temps passé sans voir son fils, lequel ne pourrait être rattrapé par la suite. Ce faisant, le recourant n’expose pas qu’il risquerait de perdre son droit ou que la procédure deviendrait sans objet en raison du refus des mesures superprovisionnelles requises. Une telle perte de droit ou d’objet doit au reste être exclue d’emblée, dès lors qu’une audience de mesures provisionnelles, à l’issue de laquelle une décision sur mesure provisionnelles se substituant à l’ordonnance litigieuse et que le recourant pourra, le cas échéant, attaquer, sera très prochainement tenue. On relèvera par surabondance que contrairement à ce qu’avance le recourant, il n’apparaît pas que le déménagement de l’intimée à [...], soit à quelque 30 km de [...], s’oppose d’emblée à la poursuite de la garde alternée des parties sur leur fils. Cela est d’autant plus vrai qu’il ressort des pièces jointes au recours que la mère a offert d’adapter les modalités d’exercice de cette garde en déposant B.________ chez son père et en venant l’y chercher. Il s’ensuit que faute de risque de perte d’un droit pour le recourant ou de perte d’objet du litige, le recours est irrecevable. 6. 6.1 Au vu de ce qui précède, le recours doit être déclaré irrecevable en application de l’art. 322 al. 1 in fine CPC. 6.2 La requête d’assistance judiciaire formée par le recourant doit être rejetée ; le recours était en effet d’emblée dénué de chances de succès (art. 117 let. b CPC), de sorte qu’une personne raisonnable plaidant à ses propres frais aurait renoncé à recourir. Les conditions de l’art. 117 CPC étant cumulatives (TF 5A_396/2018 du 29 juin 2018 consid. 5.1), la question de l’éventuelle indigence du recourant ne se pose pas. 6.3 Le présent arrêt peut être rendu sans frais judiciaires (art. 11 TFJC [tarif des frais judiciaires civils du 28 septembre 2010 ; BLV 270.11.5]) ni dépens de deuxième instance, l’intimée n’ayant pas été invitée à se déterminer sur le recours. Par ces motifs, la Chambre des recours civile du Tribunal cantonal, en application de l’art. 322 al. 1 CPC, prononce : I. Le recours est irrecevable. II. La requête d’assistance judiciaire est rejetée. III. L’arrêt, rendu sans frais, est exécutoire. La présidente : La greffière : Du L’arrêt qui précède, dont la rédaction a été approuvée à huis clos, est notifié à : ‑ Me Alessandro Brenci (pour E.________), - Me Mirko Giorgini (pour Z.________).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