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776 vom 4. November 2024</w:t>
      </w:r>
    </w:p>
    <w:p>
      <w:r>
        <w:t>VD Tribunal cantonal, 2024-11-04, FR</w:t>
      </w:r>
    </w:p>
    <w:p>
      <w:r>
        <w:rPr>
          <w:b/>
        </w:rPr>
        <w:t xml:space="preserve">Quelle: </w:t>
      </w:r>
      <w:r>
        <w:t>https://mcp.opencaselaw.ch/entscheid/vd_findinfo_HC___2024___776</w:t>
      </w:r>
    </w:p>
    <w:p>
      <w:r>
        <w:t>FR: VD_FINDINFO HC / 2024 / 776 du 4 novembre 2024</w:t>
      </w:r>
    </w:p>
    <w:p>
      <w:r>
        <w:t>IT: VD_FINDINFO HC / 2024 / 776 del 4 novembre 2024</w:t>
      </w:r>
    </w:p>
    <w:p>
      <w:pPr>
        <w:pStyle w:val="Heading2"/>
      </w:pPr>
      <w:r>
        <w:t>Regeste</w:t>
      </w:r>
    </w:p>
    <w:p>
      <w:r>
        <w:t>DROIT DE GARDE, RELATIONS PERSONNELLES, OBLIGATION D'ENTRETIEN | 176 CC, 273 CC, 298 CC</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dont font partie les ordonnances de mesures protectrices de l’union conjugale (ATF 137 III 475 consid. 4.1 et les réf. citées ; TF 5A_329/2023 du 8 mai 2023 consid. 1), dans les causes non patrimoniales ou dont la valeur litigieuse, au dernier état des conclusions devant l’autorité inférieure, est supérieure à 10'000 fr. (art. 308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l’appel a été déposé par une partie disposant d’un intérêt digne de protection (art. 59 al. 2 let. a CPC) contre une décision de mesures protectrices de l’union conjugale. Portant sur des conclusions non patrimoniales et patrimoniales, dont la valeur litigieuse après capitalisation (art. 92 al. 2 CPC)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 Juge unique CACI 23 août 2022). L’art. 296 al. 1 CPC prévoit une maxime inquisitoire illimitée en ce qui concerne les questions relatives aux enfants (TF 5A_245/2019 du 1 er juillet 2019 consid. 3.2.1 et les réf. citées ).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w:t>
      </w:r>
    </w:p>
    <w:p>
      <w:r>
        <w:rPr>
          <w:b/>
        </w:rPr>
        <w:t>E. 2.2.2</w:t>
      </w:r>
    </w:p>
    <w:p>
      <w:r>
        <w:t>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Toutefois, lorsque la procédure est soumise à la maxime inquisitoire illimitée, les parties peuvent présenter des nova en appel même si les conditions de cette disposition ne sont pas réunies (ATF 144 III 349 consid. 4.2.1 et les réf. citées ; TF 5A_582/2020 du 7 octobre 2021 consid. 4.1.4).</w:t>
      </w:r>
    </w:p>
    <w:p>
      <w:r>
        <w:rPr>
          <w:b/>
        </w:rPr>
        <w:t>E. 2.3.2</w:t>
      </w:r>
    </w:p>
    <w:p>
      <w:r>
        <w:t>En l’espèce, l’appel concerne les contributions d’entretien d’enfants mineurs ainsi que leur garde et le droit de visite. Partant, les pièces nouvelles produites par l’appelant sont recevables.</w:t>
      </w:r>
    </w:p>
    <w:p>
      <w:r>
        <w:rPr>
          <w:b/>
        </w:rPr>
        <w:t>E. 3.1</w:t>
      </w:r>
    </w:p>
    <w:p>
      <w:r>
        <w:t>L’appelant requiert une garde alternée sur sa fille Z.________, expliquant avoir toujours entretenu de bonnes relations avec ses enfants et avoir été disponible et attentif à eux. Il estime que le brusque changement de comportement de Z.________ est associé à un éventuel conflit de loyauté qui pourrait peser sur celle-ci et relève qu’elle refuse toutes relations personnelles avec lui sans raison apparente, rappelant qu’il est dans l’intérêt de sa fille d’entretenir des liens avec ses autres frères.</w:t>
      </w:r>
    </w:p>
    <w:p>
      <w:r>
        <w:rPr>
          <w:b/>
        </w:rPr>
        <w:t>E. 3.2</w:t>
      </w:r>
    </w:p>
    <w:p>
      <w:r>
        <w:t>Le juge doit alors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 ATF 142 III 612 consid. 4.2). Le bien de l'enfant constitue en effet la règle fondamentale en matière d'attribution des droits parentaux (ATF 141 III 328 consid. 5.4), les intérêts des parents devant être relégués au second plan (ATF 142 III 617 précité consid. 3.2.3 ; TF 5A_49/2023 du 21 novembre 2023 consid. 3.1.1). Au nombre des critères essentiels pour cet examen, entrent en ligne de compte les capacités éducatives des parents, lesquelles doivent être données chez chacun d'eux pour pouvoir envisager l'instauration d'une garde alternée, ainsi que l'existence d'une bonne capacité et d’une bonne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précité consid. 3.2.3 ; TF 5A_700/2021 du 16 septembre 2022 consid. 3.1). Si les parents disposent tous deux de capacités éducatives, le juge doit dans un deuxième temps évaluer les autres critères d’appréciation pertinents pour l’attribution de la garde. Au nombre des critères centraux, entrent en ligne de compte la situation géographique et la distance séparant les logements des deux parents, la capacité et la volonté de chaque parent de favoriser les contacts avec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précité consid. 3.2.3).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précité consid. 3.2.3 et 3.2.4 et les réf. citées ; TF 5A_49/2023 du 21 novembre 2023 consid. 3.1.1 ; TF 5A_633/2022 du 8 mars 2023 consid. 4.2).</w:t>
      </w:r>
    </w:p>
    <w:p>
      <w:r>
        <w:rPr>
          <w:b/>
        </w:rPr>
        <w:t>E. 3.3</w:t>
      </w:r>
    </w:p>
    <w:p>
      <w:r>
        <w:t>Z.________, âgée de 17 ans, est placée dans un internat de formation professionnelle de l’OAI depuis le mois d’août 2023 en raison de difficultés cognitives de longue date pour lesquelles elle a bénéficié d’un enseignement spécialisé pendant toute sa scolarité. Cette formation lui convient et sa progression est régulière. Lors de son audition devant la première juge, Z.________ a précisé ne pas souhaiter voir son père pour l’instant sans expliquer plus avant. Il semble qu’elle ait toutefois conservé le contact avec ses frères aînés. Compte tenu de l’absence de contacts entre l’appelant et Z.________ depuis plusieurs mois, des circonstances scolaires particulières et du souhait exprimé par l’adolescente, qui est presque majeure, il convient de confirmer l’attribution de la garde à l’intimée.</w:t>
      </w:r>
    </w:p>
    <w:p>
      <w:r>
        <w:rPr>
          <w:b/>
        </w:rPr>
        <w:t>E. 4.1</w:t>
      </w:r>
    </w:p>
    <w:p>
      <w:r>
        <w:t>L’appelant requiert un droit de visite libre et élargi progressivement sur son fils E.________. Il avance notamment que l’intimée ne semblerait pas vouloir favoriser le lien entre le père et le fils et que les troubles comportementaux de celui-ci pourraient être en lien avec les difficultés de la mère à faire la part des choses, de sorte qu’un droit de visite réduit serait contraire aux intérêts de l’enfant.</w:t>
      </w:r>
    </w:p>
    <w:p>
      <w:r>
        <w:rPr>
          <w:b/>
        </w:rPr>
        <w:t>E. 4.2.1</w:t>
      </w:r>
    </w:p>
    <w:p>
      <w:r>
        <w:t>Aux termes de l’art. 273 al. 1 CC (Code civil suisse du 10 décembre 1907 ; RS 210),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 il doit en premier lieu servir l’intérêt de celui-ci (ATF 131 III 209 consid. 5 et les réf. citées ; TF 5A_497/2017 du 7 juin 2018 consid. 4.1). Le droit au relations personnelles vise à sauvegarder le lien existant entre parents et enfants.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Dans ce contexte, l’importance et le mode d’exercice des relations personnelles doivent être appropriés à la situation, autrement dit tenir équitablement compte des circonstances particulières du cas, le bien de l’enfant étant le facteur d’appréciation le plus important. Le bien de l'enfant variera en fonction de son âge, de sa santé physique et psychique, de la relation qu'il entretient avec l'ayant droit, de ses loisirs, etc. (Meier/Stettler, Droit de la filiation, 6 ème éd., Zurich 2019, n. 984, pp. 635 ss. et les réf. citées). La disponibilité du parent (horaires de travail et autres obligations), son lieu de vie (éloignement par rapport au domicile de l’enfant, organisation pour recevoir l’enfant, etc.), sa personnalité et la relation qu’il entretient avec l’enfant sont d’autant de critères pertinents. L’avis de l’enfant doit également être pris en compte. Celui-ci est auditionné dans la mesure où son âge ou d’autres circonstances ne s’y opposent pas. Cependant, l’exercice des relations personnelles n'est pas soumis à l’exigence du consentement de l’enfant, en tous les cas lorsque celui-ci n’est pas capable de discernement, c’est-à-dire en dessous d’environ douze ans (TF 5A_373/2018 du 8 avril 2019 consid. 3.1 et les réf. citées).</w:t>
      </w:r>
    </w:p>
    <w:p>
      <w:r>
        <w:rPr>
          <w:b/>
        </w:rPr>
        <w:t>E. 4.2.2</w:t>
      </w:r>
    </w:p>
    <w:p>
      <w:r>
        <w:t>Conformément à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op. cit. , n. 1003, p. 651). Le bien de l’enfant est compromis lorsque son bon développement physique, psychique ou moral serait menacé par la présence, même limitée, du parent qui n’en a pas la garde. Les restrictions aux relations personnelles peuvent aussi se justifier par une charge psychique pour l’enfant (TF 5A_932/2012 du 5 mars 2013 in FamPra 2013, p. 816). La disposition a toutefois pour objet de protéger l'enfant et non de punir les parents. Malgré le texte restrictif de l’art. 274 al. 2 CC, qui mentionne uniquement le refus et le retrait, et en application du principe de proportionnalité, le droit aux relations personnelles peut également être limité, son titulaire pouvant se voir imposer des modalités d’exercice particulières, seules ou combinées, telles que l’accompagnement par un tiers, l’exercice en un lieu déterminé et délimité, l’interdiction d’approcher l’enfant en dehors des horaires prévus ou encore la suppression temporaire du droit, suivie d’un rétablissement progressif (TF 5A_654/2019 du 14 mai 2020 consid. 3 ; TF 5A_478/2018 du 10 août 2018 consid. 5.2.1).</w:t>
      </w:r>
    </w:p>
    <w:p>
      <w:r>
        <w:rPr>
          <w:b/>
        </w:rPr>
        <w:t>E. 4.3</w:t>
      </w:r>
    </w:p>
    <w:p>
      <w:r>
        <w:t>Selon le rapport de synthèse de la DGEJ du 15 mars 2024, aucun critère de mise en danger des enfants n’est objectivable en lien avec la mise en place d’un droit de visite entre le père et ses enfants, étant relevé qu’il est dans l’intérêt autant des mineurs que du père d’entretenir des relations personnelles. Toutefois, au vu de la fragilité respective des mineurs et de la nature anxieuse de la mère (qui pourrait avoir comme conséquence une instrumentalisation des enfants), la DGEJ est d’avis de prévoir certaines mesures de précaution. S’agissant d’E.________, même si le père a demandé un droit de visite progressif en demi-journée sans surveillance extérieure, les intervenants pensent que l’interruption de contacts pendant plusieurs mois, cumulée à un lien initial tenu (en raison de la mise à distance des proches) et aux difficultés massives de l’enfant, nécessite de recourir à une prestation assumée par un tiers, la structure Trait d’Union de la Croix-Rouge étant l’accompagnement le plus adapté à la situation pour gérer la reprise de contact entre E.________, son père et ses frères. En effet, la présence de l’intervenant permettrait également de sécuriser la mère et d’assurer les trajets. Actuellement, l’action socio-éducative sans mandat de la DGEJ se poursuit. La psychologue qui suit l’enfant suspecte des troubles autistiques. Rien ne permet de s’écarter des conclusions de la DGEJ. Ainsi, compte tenu de l’absence de contacts durant une longue période, des difficultés de l’enfant et de la mise en place du mandat d’évaluation, la reprise des relations personnelles sous la supervision d’un tiers doit être confirmée.</w:t>
      </w:r>
    </w:p>
    <w:p>
      <w:r>
        <w:rPr>
          <w:b/>
        </w:rPr>
        <w:t>E. 05</w:t>
      </w:r>
    </w:p>
    <w:p>
      <w:r>
        <w:t>300 fr. - 476 fr. - 358 fr. 30) - Septembre 2023 : 6'888 fr. 15 (= 7'624 fr. 15 - 300 fr. - 436 fr.) - Octobre 2023 : 6'563 fr. 65 (= 7'277 fr. 65 - 300 fr. - 414 fr.) - Novembre 2023 : 6'696 fr. (= 7'378 fr. - 300 fr. - 382 fr.) Total : 65'776 fr. 35, soit en moyenne 7'308 fr. 50 par mois, à savoir 7'917 fr. 52, arrondi à 7'918 fr., part au 13 ème salaire incluse, pour l’année 2023. Le salaire de l’appelant ayant augmenté de 100 fr. en 2024, son revenu mensuel doit être arrêté à 8'018 francs.</w:t>
      </w:r>
    </w:p>
    <w:p>
      <w:r>
        <w:rPr>
          <w:b/>
        </w:rPr>
        <w:t>E. 5.1</w:t>
      </w:r>
    </w:p>
    <w:p>
      <w:r>
        <w:t>L’appelant conteste le montant des contributions d’entretien allouées à son épouse et à ses enfants mineurs.</w:t>
      </w:r>
    </w:p>
    <w:p>
      <w:r>
        <w:rPr>
          <w:b/>
        </w:rPr>
        <w:t>E. 5.2.1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 doit correspondre aux besoins de l’enfant ainsi qu’à la situation et aux ressources de ses père et mère. 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frais nouveaux (ATF 137 III 385 précité consid. 3.1 ; TF 5A_930/2019 du 16 septembre 2020 consid. 4.2 et les réf. citées).</w:t>
      </w:r>
    </w:p>
    <w:p>
      <w:r>
        <w:rPr>
          <w:b/>
        </w:rPr>
        <w:t>E. 5.2.2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5.2.3</w:t>
      </w:r>
    </w:p>
    <w:p>
      <w:r>
        <w:t>Les tableaux qui suivent (cf. consid. 6.2 et 6.3 infra )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5.2.4</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w:t>
      </w:r>
    </w:p>
    <w:p>
      <w:r>
        <w:rPr>
          <w:b/>
        </w:rPr>
        <w:t>E. 5.2.5</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5.2.6</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5A_645/2020 du 19 mai 2021 consid. 3.2 ; TF 5A_627/2019 du 9 avril 2020 consid. 4.1, FamPra ch. 2020 p. 748). Si des parts de salaire, par comme par exemple des provisions, des pourboires ou des bonus, sont versés à intervalles irréguliers, si leur montant est irrégulier, voire si elles font l’objet d’un versement unique, il convient de de considérer le revenu comme variable, de sorte que les calculs se baseront sur une valeur moyenne établie sur une période considérée comme représentative (TF 5A_686/2010 du 6 décembre 2010 consid. 2.3, FamPra.ch 2011, p. 483).</w:t>
      </w:r>
    </w:p>
    <w:p>
      <w:r>
        <w:rPr>
          <w:b/>
        </w:rPr>
        <w:t>E. 5.2.7</w:t>
      </w:r>
    </w:p>
    <w:p>
      <w:r>
        <w:t>Pour fixer la contribution d’entretien, le juge doit en principe tenir compte du revenu effectif des parties (ATF 143 III 233 consid. 3.2),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réf. citées).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5A_946/2018 du 6 mars 2019 consid. 3.1 et les réf. citées).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Si le juge entend exiger la reprise d’une activité lucrative, il doit généralement accorder un délai approprié pour s’adapter à la nouvelle situation, en fonction des circonstances du cas particulier (TF 5A_489/2022 du 18 janvier 2023 consid. 5.3.2 ; TF 5A_484/2020 du 16 février 2021 consid. 5.1 et les réf. citées). Il faut notamment examiner si les changements étaient prévisibles pour la partie concernée (TF 5A_224/2016 du 13 juin 2016 consid. 3.3 ; TF 5A_184/2015 du 22 janvier 2016 consid. 3.2).</w:t>
      </w:r>
    </w:p>
    <w:p>
      <w:r>
        <w:rPr>
          <w:b/>
        </w:rPr>
        <w:t>E. 5.3</w:t>
      </w:r>
    </w:p>
    <w:p>
      <w:r>
        <w:t>supra ). La charge fiscale pour l’appelant sera calculée en tenant compte du fait qu’il est domicilié à [...], avec aucun enfant mineur faisant ménage commun, et que l’intimée est domiciliée à [...], avec deux enfants mineurs.</w:t>
      </w:r>
    </w:p>
    <w:p>
      <w:r>
        <w:rPr>
          <w:b/>
        </w:rPr>
        <w:t>E. 5.3.1</w:t>
      </w:r>
    </w:p>
    <w:p>
      <w:r>
        <w:t>L’appelant reproche à la première juge d’avoir comptabilisé, dans ses revenus, les bonus perçus ainsi que les heures supplémentaires et les indemnités de repas, de sorte que son salaire mensuel s’élèverait à 7'265 fr. par mois, part au treizième salaire incluse. La première juge a estimé le salaire net actuel de l’appelant à 8'000 francs.</w:t>
      </w:r>
    </w:p>
    <w:p>
      <w:r>
        <w:rPr>
          <w:b/>
        </w:rPr>
        <w:t>E. 5.3.2</w:t>
      </w:r>
    </w:p>
    <w:p>
      <w:r>
        <w:t>Pour arrêter le salaire de l’appelant, il convient tout à bord d’établir les revenus sur la base des fiches de salaire produites. Il apparaît que l’appelant a perçu des bonus (« gratifications à bien plaire ») en 2022, 2023 et 2024 (pièce 2 déposée en appel), de sorte qu’ils peuvent être qualifiés de réguliers et intégrés dans les moyennes calculées pour obtenir le revenu. Il en va de même des suppléments réguliers, tels que les heures de déplacement et les pauses « [...] ». Les heures supplémentaires, effectuées au mois d’août 2023, à hauteur de 8,75 heures doivent également être comptabilisées, comme revenu variable, en les intégrant dans la moyenne calculée avec les montants à disposition. En revanche, il faut déduire des montants reçus les allocations familiales ainsi que les frais de repas et de train, dès lors qu’il s’agit de frais effectifs de l’appelant, directement payés par l’employeur. Ainsi, l’appelant a perçu en : - Mars 2023 : 8'239 fr. 95 (= 9'470 fr. 95 - 100 fr. [relatifs aux mois de janvier et février] - 700 fr. - 431 fr.), incluant une gratification à bien plaire de 2'000 fr. - Avril 2023 : 6'808 fr. 55 (= 7'886 fr. 55 - 700 fr. - 378 fr.) - Mai 2023 : 10'735 fr. 15 (= 11'800 fr. 15 - 700 fr. - 347 fr. - 18 fr.) - Juin 2023 : 6'333 fr. 85 (= 7'277 fr. 85 - 700 fr. - 244 fr.), incluant une gratification à bien plaire de 5'000 fr. - Juillet 2023 : 6'357 fr. (= 7'312 fr. - 700 fr. - 255 fr.) - Août 2023 : 7'154 fr. 05 (= 7'930 fr.</w:t>
      </w:r>
    </w:p>
    <w:p>
      <w:r>
        <w:rPr>
          <w:b/>
        </w:rPr>
        <w:t>E. 5.4</w:t>
      </w:r>
    </w:p>
    <w:p>
      <w:r>
        <w:t>S’agissant de ses charges, l’appelant invoque un montant de 1'350 fr. en tant que base mensuelle, en lieu et place des 1'200 fr. retenus par la première juge. Cependant, dès lors qu’il ne vit pas avec des enfants mineurs et que la garde de Z.________ ne lui a pas été confiée, c’est à bon droit que la présidente a retenu un montant de 1'200 fr., qui doit être confirmé.</w:t>
      </w:r>
    </w:p>
    <w:p>
      <w:r>
        <w:rPr>
          <w:b/>
        </w:rPr>
        <w:t>E. 5.5</w:t>
      </w:r>
    </w:p>
    <w:p>
      <w:r>
        <w:t>L’appelant fait ensuite grief à la première juge d’avoir sous-estimé la charge fiscale. Il a produit à cet effet des extraits du simulateur fiscal de la Confédération. La fixation de la charge fiscale implique le calcul des contributions d’entretien dues, qui elles-mêmes impliquent la fixation de la charge d’impôt et la répartition de cette charge dans les charges du crédirentier et celles des enfants (Juge unique CACI 18 janvier 2023/23 consid. 16 ; Juge unique CACI 11 août 2022/404 consid. 15). La part d’impôt étant difficile à estimer, parce qu’elle dépend aussi de nombreux facteurs liés à la situation du parent auquel les contributions sont versées, lequel – comme on l’a vu – demeure seul sujet fiscal, il faut se contenter d’une estimation en équité, lorsqu’elle se justifie (Juge unique CACI 18 janvier 2023/23 consid. 16 ; Juge unique CACI 9 juillet 2021/341 consid. 5.2.2.2 et la réf. citée). En l’occurrence, la charge fiscale est estimée automatiquement dans les tableaux utilisés usuellement par la Cour d’appel civile. Elle doit être actualisée chez les parties et leurs enfants, en fonction des revenus de l’appelant, tels que retenus dans le présent arrêt (cf. consid.</w:t>
      </w:r>
    </w:p>
    <w:p>
      <w:r>
        <w:rPr>
          <w:b/>
        </w:rPr>
        <w:t>E. 5.6</w:t>
      </w:r>
    </w:p>
    <w:p>
      <w:r>
        <w:t>L’appelant soutient que le revenu hypothétique de l’intimée doit être arrêté à 1'844 fr. 50. Il effectue à cet égard des calculs sur la base d’une moyenne hebdomadaire de 22,5 heures. La première juge s’est fondée sur le calculateur national des salaires du Secrétariat d’Etat à l’économie pour retenir un revenu hypothétique net de 1'615 fr., pour un emploi sans formation professionnelle complète et sans fonction de cadre, avec un horaire de 20 heures par semaine. Il convient de confirmer le nombre d’heures hebdomadaires à 20 heures, comme fixé par la première juge, compte tenu de la charge que représente E.________. En effet, selon les déterminations de la DGEJ, si l’enfant n’était pas scolarisé, une crèche devrait être trouvée. Par ailleurs, il nécessite davantage d’attention qu’un enfant ordinaire. Enfin, d’éventuelles heures supplémentaires seront inévitablement compensées par des frais de prise en charge par des tiers.</w:t>
      </w:r>
    </w:p>
    <w:p>
      <w:r>
        <w:rPr>
          <w:b/>
        </w:rPr>
        <w:t>E. 6.1</w:t>
      </w:r>
    </w:p>
    <w:p>
      <w:r>
        <w:t>Faute de grief, il n’y pas lieu de revoir les autres postes retenus par la première juge. Au vu des éléments examinés ci-avant et des postes constatés en première instance et non critiqués en appel, la situation des parties est la suivante.</w:t>
      </w:r>
    </w:p>
    <w:p>
      <w:r>
        <w:rPr>
          <w:b/>
        </w:rPr>
        <w:t>E. 6.2.1</w:t>
      </w:r>
    </w:p>
    <w:p>
      <w:r>
        <w:t>Période du 1 er janvier au 30 novembre 2024 Appelant Intimée Z.________ et E.________</w:t>
      </w:r>
    </w:p>
    <w:p>
      <w:r>
        <w:rPr>
          <w:b/>
        </w:rPr>
        <w:t>E. 6.2.2</w:t>
      </w:r>
    </w:p>
    <w:p>
      <w:r>
        <w:t>Aucune des parties ne conteste en deuxième instance la méthode suivie par la première juge pour refixer les contributions d’entretien, à savoir la méthode du minimum vital avec répartition de l’excédent, préconisée par l’ATF 147 III 265. Chacune d’elles argumente d’ailleurs en fonction de cette méthode. Il n’y a dès lors pas lieu de revenir sur ce point. Ainsi, pour la période entre le 1 er janvier et le 30 novembre 2024, le disponible de l’appelant s’élève à 4'318 fr. 90 et l’intimée a un manco de 3'438 fr. 30. Les coûts directs de Z.________ s’élèvent à 505 fr. 95, correspondant à son entretien convenable, et ceux de l’enfant E.________ se montent à 472 fr. 15. Son entretien convenable est composé des coûts directs et de la contribution de prise en charge, à hauteur de 3'438 fr. 30, pour un total de 3'910 fr. 45. L’appelant ne peut donc pas couvrir l’entier des entretiens convenables, dans la mesure où cela engendrerait un déficit d’environ 97 francs. Suivant une répartition proportionnelle des entretiens convenables en fonction du disponible, la contribution d’entretien à charge de l’appelant en faveur de Z.________ doit être fixée à 494 fr. 78, arrondie à 495 fr., et celle de l’enfant E.________ à 3'842 fr. 12, arrondie à 3'825 francs. Il n’y a pas d’excédent à répartir et aucune contribution d’entretien n’est due à l’intimée.</w:t>
      </w:r>
    </w:p>
    <w:p>
      <w:r>
        <w:rPr>
          <w:b/>
        </w:rPr>
        <w:t>E. 6.3.1</w:t>
      </w:r>
    </w:p>
    <w:p>
      <w:r>
        <w:t>Période à partir du 1 er décembre 2024 Appelant L’intimée Z.________ et E.________</w:t>
      </w:r>
    </w:p>
    <w:p>
      <w:r>
        <w:rPr>
          <w:b/>
        </w:rPr>
        <w:t>E. 6.3.2</w:t>
      </w:r>
    </w:p>
    <w:p>
      <w:r>
        <w:t>Au vu de ce qui précède, pour la période débutant au 1 er décembre 2024, le disponible de l’appelant s’élève à 4'143 fr. 90, et le manco de l’intimée se monte à 2'261 fr. 20. Les coûts directs de Z.________ s’élèvent à 532 fr., respectivement ceux de l’enfant E.________ à 777 fr. 55. Le disponible de l’appelant s’élève à 573 fr. 15, après paiement des coûts directs des enfants et de la contribution de prise en charge, par 2'261 fr. 20. La part de chaque époux à cet excédent est d’un tiers, ce qui représente un montant de 191 fr. 05, et celle de chacun des enfants mineurs d’un sixième, soit 95 fr. 55. Ainsi, les contributions d’entretien à charge de l’appelant doivent être fixées à des montants arrondis à 630 fr. pour Z.________ (532 fr. + 95 fr. 55 = 627 fr. 55), à 3'135 fr. pour E.________ (777 fr. 55 + 2'261 fr. 20 + 95 fr. 55 = 3'134 fr. 30) et à 190 fr. pour l’intimée. La contribution d’entretien en faveur de l’enfant E.________ est supérieure à celle fixée en première instance. Il est toutefois rappelé que la contribution due à l'entretien d'un enfant étant prévue par l'art. 176 al. 3 CC, lequel renvoie aux art. 276 ss CC, est soumise à la maxime d'office (art. 296 al. 3 CPC ; ATF 129 III 417 consid. 2.1.2 ; ATF 128 III 411 consid. 3.2.2), ce qui a pour conséquence que le juge n'est pas lié par les conclusions des parents. Ainsi, l’interdiction de statuer ultra petita ne s’applique pas.</w:t>
      </w:r>
    </w:p>
    <w:p>
      <w:r>
        <w:rPr>
          <w:b/>
        </w:rPr>
        <w:t>E. 7.1</w:t>
      </w:r>
    </w:p>
    <w:p>
      <w:r>
        <w:t>Au vu de ce qui précède, l’appel est très partiellement admis et l’ordonnance entreprise sera réformée sur les montants des contributions d’entretien aux chiffres VII, VIII et IX de son dispositif.</w:t>
      </w:r>
    </w:p>
    <w:p>
      <w:r>
        <w:rPr>
          <w:b/>
        </w:rPr>
        <w:t>E. 7.2</w:t>
      </w:r>
    </w:p>
    <w:p>
      <w:r>
        <w:t>S’agissant des frais judiciaires de première instance, il n’y a pas lieu d’y revenir, la décision ayant été rendue sans frais. L’ordonnance entreprise ne fixe pas de dépens, ce qu’il convient de maintenir, dès lors que leur octroi n’a pas fait l’objet de conclusion en appel.</w:t>
      </w:r>
    </w:p>
    <w:p>
      <w:r>
        <w:rPr>
          <w:b/>
        </w:rPr>
        <w:t>E. 7.3</w:t>
      </w:r>
    </w:p>
    <w:p>
      <w:r>
        <w:t>Les frais judiciaires de deuxième instance seront arrêtés à 800 fr., soit 600 fr. pour l’émolument relatif à l’appel, selon l’art. 65 al. 2 TFJC (tarif des frais judiciaires civils du 28 septembre 2010 ; BLV 270.11.5), et 200 fr. (art. 7 al. 1 et 60 TFJC) pour l’ordonnance d’effet suspensif. Dans la mesure où l’appelant obtient partiellement gain de cause sur ses conclusions, il se justifie de répartir les frais judiciaires à raison d’un tiers à la charge de l’intimée, soit 265 fr., et de deux tiers à la charge de l’appelant, soit 535 fr. (art. 106 al. 2, 107 al. 1 let. c CPC). Les frais seront provisoirement laissés à la charge de l’Etat, les parties bénéficiant toutes deux de l’assistance judiciaire (art. 122 al. 1 let. b CPC).</w:t>
      </w:r>
    </w:p>
    <w:p>
      <w:r>
        <w:rPr>
          <w:b/>
        </w:rPr>
        <w:t>E. 7.4.1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7.4.2</w:t>
      </w:r>
    </w:p>
    <w:p>
      <w:r>
        <w:t>Me Stéphanie Brun Poggi, conseil d’office de l’appelant, a produit une liste des opérations faisant état d’activités déployées dans le dossier à hauteur de 5 heures et 46 minutes par ses soins, respectivement 18 heures et 55 minutes par ceux de son avocate-stagiaire. En l’espèce, l’entier du temps annoncé ne peut pas être indemnisé. En effet, la « Prise de connaissance et étude du jugement, opérations et courrier y relatifs » par Me Stéphanie Brun Poggi le 29 juillet 2024 a manifestement été comptabilisée à double, dès lors qu’elle figure déjà le 3 juillet 2024 sous « Prise de connaissance et étude du jugement du Tribunal cantonal », et doit donc être supprimée (- 1 h). Le temps consacré par ce conseil sera donc retenu à hauteur de 4 heures et 46 minutes. Ensuite, certaines activités annoncées par l’avocate-stagiaire n’entrent pas dans le cadre de l’accomplissement raisonnable de la tâche du conseil d’office, leur durée étant excessive, eu égard à la nature et la difficulté de la cause. Il en va ainsi des opérations déployées le 19 juin 2024 (« Recherches juridiques droit de visite et droit de garde + rédaction ») pendant 5 heures, le 20 juin 2024 (« Recherches juridiques sur effet suspensif + revenus Mme et M (calculs revenu hypothétique + salaire de M) + rédaction ») pendant 5 heures et 30 minutes et le 21 juin 2024 (« Recherches juridiques sur contributions d’entretien enfants + conclusions + rédaction + assistance judiciaire ») pendant 5 heures et 30 minutes, qui seront donc réduites respectivement à 2 heures (- 3 h), à 1 heure (- 4 h 30) et à 3 heures et 30 minutes (- 2 h), soit à des durées nécessaires et suffisantes pour effectuer les activités annoncées. Ainsi, le temps retenu pour l’avocate-stagiaire se monte à 9 heures et 25 minutes. Il s’ensuit qu’au tarif horaire de 180 fr. pour l’avocate et de 110 fr. pour l’avocate-stagiaire, l’indemnité de la première citée doit être fixée à 2'089 fr. 25, soit 1'894 fr. 80 à titre d’honoraires (4,77 h x 180 fr. + 9,42 h x 110 fr.), 37 fr. 90 de débours (2 % de 1'894 fr. 80) et 156 fr. 55 de TVA, laquelle est appliquée sur le tout (8,1 % de 1'932 fr. 70).</w:t>
      </w:r>
    </w:p>
    <w:p>
      <w:r>
        <w:rPr>
          <w:b/>
        </w:rPr>
        <w:t>E. 7.4.3</w:t>
      </w:r>
    </w:p>
    <w:p>
      <w:r>
        <w:t>Me Coralie Germond, conseil d’office de l’intimée, a produit une liste des opérations faisant état d’activités déployées par ses soins à hauteur de 8 heures et 20 minutes entre le 28 juin et le 25 juillet 2024. Le décompte présenté apparaît justifié et peut être admis tel quel. Il s’ensuit qu’au tarif horaire de 180 fr., l’indemnité de Me Coralie Germond doit être fixée à 1'500 fr. (8,33 h x 180 fr.) montant auquel s’ajoutent les débours forfaitaires à 2 % (art. 3bis al. 1 RAJ) par 30 fr., et la TVA à 8,1 % sur le tout par 123 fr. 90, soit au total un montant de 1'653 fr. 90.</w:t>
      </w:r>
    </w:p>
    <w:p>
      <w:r>
        <w:rPr>
          <w:b/>
        </w:rPr>
        <w:t>E. 7.5</w:t>
      </w:r>
    </w:p>
    <w:p>
      <w:r>
        <w:t>Les parties obtiennent toutes deux partiellement gain de cause et ont donc droit à des dépens de deuxième instance. Les dépens de l’appelant peuvent être estimés à 3'600 fr., compte tenu des barèmes de l’art. 9 al. 2 TDC (tarif des dépens en matière civile du 23 novembre 2010 ; BLV 270.11.6), des activités déployées par le conseil et son avocate-stagiaire (art. 21 al. 1 TDC) et de l’issue du litige. Les dépens de l’intimée sont quant à eux estimés à 2'500 francs. Suivant la même répartition que les frais de deuxième instance (cf. consid. 7.3 supra ), soit un tiers à la charge de l’intimée et deux tiers à la charge de l’appelant, celui-ci doit être reconnu débiteur d’un montant de 466 fr. ([3'600 fr. + 2500 fr.] x 2/3 - 3'600 fr.), à titre de dépens de deuxième instance. Au vu du bénéfice de l’assistance judiciaire dont bénéficie l’intimée, ces dépens doivent être alloués à Me Coralie Germond directement, conformément à la jurisprudence (TF 4A_106/2021 du 8 août 2022 consid. 3.4 et les réf. citées). Cela ne modifie toutefois en rien le principe posé par les art. 122 al. 2 CPC et 4 RAJ, selon lesquels l’indemnité n’est versée que s’il est vraisemblable que les dépens alloués ne peuvent pas être obtenus de la partie adverse ou ne pourront l’être.</w:t>
      </w:r>
    </w:p>
    <w:p>
      <w:r>
        <w:rPr>
          <w:b/>
        </w:rPr>
        <w:t>E. 7.6</w:t>
      </w:r>
    </w:p>
    <w:p>
      <w:r>
        <w:t>Les bénéficiaires de l’assistance judiciaire sont tenus au remboursement de l’indemnité de leur conseil d’office respectif et des frais judiciaires mis à leur charge, supportés provisoirement par l’Etat, dès qu’ils seront en mesure de le faire (art. 123 CPC). Il incombe à la Direction du recouvrement de la Direction générale des affaires institutionnelles et des communes de fixer le principe et les modalités de ces remboursements (art. 39a CDPJ [Code de droit privé judiciaire vaudois du 12 janvier 2010 ; BLV 211.02]). Par ces motifs, la Juge unique de la Cour d’appel civile prononce : I. L’appel est très partiellement admis. II. L’ordonnance est réformée par la modification des chiffres VII, VIII et IX de son dispositif comme il suit : VII. dit que A.W.________ est tenu de contribuer à l’entretien de l’enfant Z.________ par le versement, d’avance le premier de chaque mois en mains d’B.W.________, éventuelle allocation de formation en plus, d’une pension mensuelle s’élevant à : - 495 fr. (quatre cent nonante-cinq francs) du 1 er janvier 2024 au 30 novembre 2024 ; - 630 fr. (six cent trente francs) dès le 1 er décembre 2024 jusqu’à la majorité et, au-delà, jusqu’à l’achèvement d’une formation professionnelle aux conditions de l’art. 277 al. 2 CC ; VIII. dit que A.W.________ est tenu de contribuer à l’entretien de l’enfant E.________ par le versement, d’avance le premier de chaque mois en mains d’B.W.________, éventuelle allocation familiale en plus, d’une pension mensuelle s’élevant à : - 3'825 fr. (trois mille huit cent vingt-cinq francs) du 1 er janvier 2024 au 30 novembre 2024 ; - 3'135 fr. (trois mille cent trente-cinq francs) dès le 1 er décembre 2024 ; X. dit que A.W.________ est tenu de contribuer à l’entretien de son épouse B.W.________ par le versement, d’avance le premier de chaque mois en mains de celle-ci, d’une pension mensuelle de 190 fr. (cent nonante francs) dès le 1 er décembre 2024 ; L’ordonnance est maintenue pour le surplus. III. Les frais judiciaires de deuxième instance, arrêtés à 800 fr. (huit cents francs), sont mis à la charge de l’appelant A.W.________, par 535 fr. (cinq cent trente-cinq francs), et à la charge de l’intimée B.W.________, par 265 fr. (deux cent soixante-cinq francs), mais supportés provisoirement par l’Etat. IV. L’appelant A.W.________ versera à Me Coralie Germond le montant de 466 fr. (quatre cent soixante-six francs), à titre de dépens de deuxième instance. V. L’indemnité allouée à Me Stéphanie Brun Poggi, conseil d’office de l’appelant A.W.________, est arrêtée à 2'089 fr. 25 (deux mille huitante-neuf francs et vingt-cinq centimes), débours et TVA compris. VI. L’indemnité allouée à Me Coralie Germond, conseil d’office de l’intimée B.W.________, est arrêtée à 1'653 fr. 90 (mille six cent cinquante-trois francs et nonante centimes), débours et TVA compris. VII. Les bénéficiaires de l’assistance judiciaire sont tenus au remboursement de l’indemnité allouée à leur conseil d’office respectif et de leur part des frais judiciaires, provisoirement supportées par l’Etat, dès qu’ils seront en mesure de le faire (art. 123 CPC). VIII. L’arrêt est exécutoire. La juge unique :               La greffière : Du Le présent arrêt, dont la rédaction a été approuvée à huis clos, est notifié en expédition complète à : ‑ Me Stéfanie Brun Poggi (pour A.W.________), ‑ Me Coralie Germond (pour B.W.________), et communiqué, par l'envoi de photocopies, à : ‑ Mme la Présidente du Tribunal civil de l’arrondissement de la Broye et du Nord vaudois, - l’UEMS, - la DGEJ. Un extrait du présent jugement est communiqué à Z.________, née le [...] 2007.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