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768 vom 28. Oktober 2024</w:t>
      </w:r>
    </w:p>
    <w:p>
      <w:r>
        <w:t>VD Tribunal cantonal, 2024-10-28, FR</w:t>
      </w:r>
    </w:p>
    <w:p>
      <w:r>
        <w:rPr>
          <w:b/>
        </w:rPr>
        <w:t xml:space="preserve">Quelle: </w:t>
      </w:r>
      <w:r>
        <w:t>https://mcp.opencaselaw.ch/entscheid/vd_findinfo_HC___2024___768</w:t>
      </w:r>
    </w:p>
    <w:p>
      <w:r>
        <w:t>FR: VD_FINDINFO HC / 2024 / 768 du 28 octobre 2024</w:t>
      </w:r>
    </w:p>
    <w:p>
      <w:r>
        <w:t>IT: VD_FINDINFO HC / 2024 / 768 del 28 ottobre 2024</w:t>
      </w:r>
    </w:p>
    <w:p>
      <w:pPr>
        <w:pStyle w:val="Heading2"/>
      </w:pPr>
      <w:r>
        <w:t>Regeste</w:t>
      </w:r>
    </w:p>
    <w:p>
      <w:r>
        <w:t>SOCIÉTÉ SIMPLE, REJET DE LA DEMANDE, INTERPRÉTATION{SENS GÉNÉRAL}, PRINCIPE DE LA CONFIANCE{INTERPRÉTATION DU CONTRAT}, MANIFESTATION DE VOLONTÉ, REDDITION DE COMPTES | 18 CO, 530 CO, 541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CPC). La notion de décision finale de l'art. 308 al. 1 let. a CPC est identique à celle de l'art. 90 LTF (loi du 17 juin 2005 sur le Tribunal fédéral ; RS 173.110 ; TF 4A_137/2013 du 7 novembre 2013 consid. 7.2, non publié in ATF 139 III 478). Une décision est finale lorsqu'elle met fin à la procédure, que ce soit par une décision au fond — pour un motif tiré du droit matériel — ou par une décision d'irrecevabilité — pour un motif de procédure (TF 4A_545/2014 du 10 avril 2015 consid. 2.1, in Revue suisse de procédure civile [RSPC] 2015 p. 334). La demande de reddition de comptes porte sur un droit de nature pécuniaire, les renseignements demandés étant susceptibles de fournir le fondement d'une contestation civile de nature pécuniaire (ATF 126 III 445 consid. 3b et les réf. citées ; TF 4A_599/2019 du 1 er mars 2021 consid. 1.2). La partie est dispensée de chiffrer exactement la valeur litigieuse d'une demande de renseignements (ATF 127 III 396 consid. lb/cc et les réf. citées ; TF 4A_599/2019 du 1 er mars 2021 consid. 1.2 ; cf. aussi TF 4A_269/2017 du 20 décembre 2017 consid. 1.2, non publié in ATF 144 IIl 43).</w:t>
      </w:r>
    </w:p>
    <w:p>
      <w:r>
        <w:rPr>
          <w:b/>
        </w:rPr>
        <w:t>E. 1.2</w:t>
      </w:r>
    </w:p>
    <w:p>
      <w:r>
        <w:t>Formé en temps utile par une partie ayant un intérêt digne de protection (art. 59 al. 2 let. a CPC), l’appel est dirigé contre un jugement préjudiciel mettant fin à la procédure pour un motif tiré du droit matériel. Ce jugement constitue une décision finale au sens de l’art. 236 CPC. La valeur litigieuse pouvant être considérée comme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Cette jurisprudence ne remet pas en cause la liberté conférée au juge d’admettre (ou de rejeter) l’appel en s’appuyant sur un argument non explicitement discuté par les parties (TF 4A_313/2019 du 19 mars 2020 consid. 3).</w:t>
      </w:r>
    </w:p>
    <w:p>
      <w:r>
        <w:rPr>
          <w:b/>
        </w:rPr>
        <w:t>E. 3.1</w:t>
      </w:r>
    </w:p>
    <w:p>
      <w:r>
        <w:t>L'appelant conteste l'existence d'une société simple, qui l'aurait lié à l'intimé. Il relève qu'il existait un lien de subordination entre lui, respectivement la société L.________ SA, d'une part, et l'intimé, d'autre part, et qu'un tel lien de subordination serait représentatif d'un contrat de travail, qui n'implique aucune obligation de reddition de comptes de l'employeur envers le travailleur. Il affirme que le fait que l'intimé ait ponctuellement œuvré dans le cadre du projet en cause, après son départ effectif de la société L.________ SA, ne serait pas de nature à transformer cette relation contractuelle, ce qui supposerait un nouvel accord, alors que l'intimé a indiqué avoir cessé son activité avec l'appelant.</w:t>
      </w:r>
    </w:p>
    <w:p>
      <w:r>
        <w:rPr>
          <w:b/>
        </w:rPr>
        <w:t>E. 3.2.1</w:t>
      </w:r>
    </w:p>
    <w:p>
      <w:r>
        <w:t>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 il peut donc se créer par actes concluants, voire sans que les parties en aient même conscience (ATF 124 III 363 consid. Il/2a ; TF 4A_421/2020 du 26 février 2021 consid. 3.1 ; TF 5A_881/2018 du 19 juin 2019 consid. 3.1.1.3 ; CACI 18 mars 2024/122 consid. 3.2.1). Les associés doivent avoir l' animus societatis , soit la volonté de mettre en commun des biens, ressources ou activités en vue d'atteindre un objectif déterminé, d'exercer une influence sur les décisions et de partager non seulement les risques et les profits, mais surtout la substance de l'entreprise (ATF 99 Il 303 consid. 4a ; TF 4A 421/2020, loc. cit .). L'élément caractéristique du contrat de société simple réside moins dans la volonté de réaliser quelque chose en commun que dans l'obligation qu'a chaque associé de favoriser le but commun convenu contractuellement. Le but est ce que l'on cherche à atteindre par une action ; avoir le même but est un élément purement factuel. La notion de but commun au sens de l'art. 530 al. 1 CO implique en plus que les associés s'obligent réciproquement à favoriser ensemble l'obtention de ce but. Il ne suffit pas que les parties s'accordent à poursuivre un but déterminé, elles doivent en même temps s'obliger à favoriser l'atteinte de ce but par leurs efforts ou ressources mises en commun (TF 4A 251/2016 du 13 décembre 2016 consid. 5.2.1 et les réf. cit.).</w:t>
      </w:r>
    </w:p>
    <w:p>
      <w:r>
        <w:rPr>
          <w:b/>
        </w:rPr>
        <w:t>E. 3.2.2</w:t>
      </w:r>
    </w:p>
    <w:p>
      <w:r>
        <w:t>Aux termes de l'art. 541 al. 1 CO, tout associé, même s'il n'a pas la gestion, a le droit de se renseigner personnellement sur la marche des affaires sociales, de consulter les livres et les papiers de la société, ainsi que de dresser, pour son usage personnel, un état de la situation financière. Le droit de contrôle est particulièrement étendu, voire illimité, et ne s'arrête qu'au moment où son exercice constitue un abus de droit (Chaix in Tercier et al. [édit.], Commentaire romand, Code des obligations II, 3 e éd., Bâle 2024, n. 7 ad art. 541 CO ; Meier-Hayoz/Forstmoser, Droit suisse des sociétés, Berne 2015, n. 60, p. 403 ; Jörg in Schütz [édit.], Personengesellschaftsrecht (Art. 530 – 619 CO), Berne 2015, n. 23 ad art. 541 CO). En particulier, le droit individuel de contrôle perdure à la sortie d'un membre de la société, pour autant que les renseignements sollicités concernent la période où il était associé (Chaix, op. cit ., n. 8 ad art. 541 CO). Ce droit peut être mis en œuvre judiciairement (ATF 144 III 100 consid. 5.2.3.1 ; CACI 18 mars 2024/122 consid. 3.2.1).</w:t>
      </w:r>
    </w:p>
    <w:p>
      <w:r>
        <w:rPr>
          <w:b/>
        </w:rPr>
        <w:t>E. 3.2.3</w:t>
      </w:r>
    </w:p>
    <w:p>
      <w:r>
        <w:t>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in Thévenoz et al. [édit.], Commentaire romand, Code des obligations l, 3 e éd., Bâle 2021, nn. 14-16, 25 et 32-35 ad art. 18 CO ; Kramer/Schmidlin in Berner Kommentar, Berne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Il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 TF 4A_502/2022 et 4A_504/2022 du 12 septembre 2023 consid. 3.1.6).</w:t>
      </w:r>
    </w:p>
    <w:p>
      <w:r>
        <w:rPr>
          <w:b/>
        </w:rPr>
        <w:t>E. 3.3</w:t>
      </w:r>
    </w:p>
    <w:p>
      <w:r>
        <w:t>Lors des débats de première instance, l’intimé a déclaré ce qui suit : « Je n'ai jamais signé de contrat de partenariat avec M. [...], ni avec [...]. Je n'ai pas signé d'autre contrat. S'agissant du projet des [...], il a un temps été question que je ne m'occupe que du courtage après que j'ai transmis le dossier à [...]. Il a alors été convenu oralement que je reçoive 25’000 fr. par villa pour le courtage, soit un total de 200'000 fr. J'ai renoncé à participer au bénéfice de la construction parce que j'avait [sic] quitté la société. Pour répondre à la présidente, concernant la période antérieure à la commercialisation, il était prévu verbalement qu'on encaisse 50 % chacun du bénéfice de la promotion. J'ai cessé mon activité avec M. [...] car je n'avais plus le temps ni l'envie de m'en occuper. Je n'étais en outre plus dans les murs de la société et ne pouvais plus gérer ce qui s'y passait. Je précise que c'est à cette époque que je me suis mis à mon compte ou plutôt que j'ai créé ma propre enseigne ». La Cour de céans retient que les déclarations précitées n'excluent pas la conclusion d'un contrat de société simple ultérieurement au contrat de travail ayant lié les parties. En effet, selon l’attestation de la Caisse cantonale vaudoise de compensation AVS, l’intimé a effectivement travaillé initialement comme employé auprès de L.________ SA, dont l’appelant était administrateur et propriétaire de l'intégralité des actions. L'intimé a ainsi œuvré comme salarié auprès de cette société du 1 er octobre 2014 au 31 décembre 2016, avant de créer sa propre agence immobilière, K.________ Sàrl. Les éléments du dossier attestent qu'à la fin du contrat de travail les liant, les parties ont poursuivi leur collaboration pour mener à bien le projet immobilier « [...] », sur un pied d'égalité, chacune en son propre nom mais sous l'enseigne commune « [...] », avec précisément pour but commun de réaliser ladite promotion. Ils ont ainsi noué une nouvelle relation contractuelle, à savoir un contrat de société simple, visant à mener à bien le projet précité. Indépendamment de ses déclarations aux débats de première instance, l'intimé est resté actif, en son nom propre, dans la promotion immobilière « [...] », comme l'attestent de nombreux éléments au dossier. Ainsi, dès le printemps 2017, de nombreuses demandes ont été formulées par des acheteurs potentiels, à la suite d'une annonce intitulée « Villa Mitoyenne 4.5 pièces à [...] », publiée sur différents sites internet spécialisés dans la vente immobilière. Ces demandes ont été adressées à l’adresse électronique « [...] », puis transférées à l'intimé sur son adresse électronique « [...] ». Ce dernier a également été actif dans le cadre de la procédure relative aux permis de construire, les courriers électroniques de l'avocat de la Municipalité de [...] lui étant adressés. En avril 2021 encore, l’intimé a reçu de l'appelant le plan de masse et les plans de PPE, déjà remis au notaire, ainsi qu'une nouvelle grille de prix. Au regard de ces éléments, et à l’instar de la présidente, il convient de confirmer la conclusion d'un contrat de société simple entre les parties. S’ensuit le rejet du grief et, avec celui-ci, de l’appel.</w:t>
      </w:r>
    </w:p>
    <w:p>
      <w:r>
        <w:rPr>
          <w:b/>
        </w:rPr>
        <w:t>E. 4.1</w:t>
      </w:r>
    </w:p>
    <w:p>
      <w:r>
        <w:t>Au vu de ce qui précède, l’appel, manifestement infondé, doit être rejeté en application de l’art. 312 al. 1 in fine CPC et le jugement confirmé.</w:t>
      </w:r>
    </w:p>
    <w:p>
      <w:r>
        <w:rPr>
          <w:b/>
        </w:rPr>
        <w:t>E. 4.2</w:t>
      </w:r>
    </w:p>
    <w:p>
      <w:r>
        <w:t>Les frais judiciaires de deuxième instance, arrêtés à 900 fr. (art. 62 al. 1 TFJC [tarif des frais judiciaires civils du 28 septembre 2010 ; BLV 270.11.5]), seront mis à la charge de l’appelant,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