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742 vom 19. September 2024</w:t>
      </w:r>
    </w:p>
    <w:p>
      <w:r>
        <w:t>VD Tribunal cantonal, 2024-09-19, FR</w:t>
      </w:r>
    </w:p>
    <w:p>
      <w:r>
        <w:rPr>
          <w:b/>
        </w:rPr>
        <w:t xml:space="preserve">Quelle: </w:t>
      </w:r>
      <w:r>
        <w:t>https://mcp.opencaselaw.ch/entscheid/vd_findinfo_HC___2024___742</w:t>
      </w:r>
    </w:p>
    <w:p>
      <w:r>
        <w:t>FR: VD_FINDINFO HC / 2024 / 742 du 19 septembre 2024</w:t>
      </w:r>
    </w:p>
    <w:p>
      <w:r>
        <w:t>IT: VD_FINDINFO HC / 2024 / 742 del 19 settembre 2024</w:t>
      </w:r>
    </w:p>
    <w:p>
      <w:pPr>
        <w:pStyle w:val="Heading2"/>
      </w:pPr>
      <w:r>
        <w:t>Regeste</w:t>
      </w:r>
    </w:p>
    <w:p>
      <w:r>
        <w:t>EXÉCUTION FORCÉE, GARDE ALTERNÉE | 336 al. 1 CPC (CH), 341 al. 3 CPC (CH)</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formé en temps utile par une partie justifiant d’un intérêt digne de protection (art. 59 al. 2 let. a CPC) et portant sur une décision du tribunal de l’exécution ordonnant l’exécution indirecte d’une obligation de faire sous la menace de la peine d’amende de l’art. 292 CP au sens de l’art. 343 al. 1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 nn. 4 et 5 ad art. 341 CPC). Dans ce cadre, la partie succombante peut contester le caractère exécutoire (art. 336 al. 1) de la décision à exécuter.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 (art. 341 al. 3 CPC).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op. cit. , n. 16 ad art. 341 CPC). La partie succombante peut en outre conclure, in limine litis , à l’irrecevabilité de la requête d’exécution forcée en raison de moyens relevant de la procédure d’exécution forcée tels que l’incompétence du tribunal ou le mode d’exécution requis ( ibid ., n. 13 ad art. 341 CPC).</w:t>
      </w:r>
    </w:p>
    <w:p>
      <w:r>
        <w:rPr>
          <w:b/>
        </w:rPr>
        <w:t>E. 3.3</w:t>
      </w:r>
    </w:p>
    <w:p>
      <w:r>
        <w:t>; ATF 139 I 189 consid. 3.2 ; ATF 138 I 484 consid. 2.1 ; TF 5A_741/2016 du 6 décembre 2016 consid. 3.1.1 ; TF 5A_925/2015 du 4 mars 2016 consid. 2.3.3.1, non publié à l'ATF 142 III 195).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8 mars 2019/82 ; CREC 28 mai 2018/168 ; CREC 28 mars 2018/105).</w:t>
      </w:r>
    </w:p>
    <w:p>
      <w:r>
        <w:rPr>
          <w:b/>
        </w:rPr>
        <w:t>E. 4.1</w:t>
      </w:r>
    </w:p>
    <w:p>
      <w:r>
        <w:t>A l’appui de son recours, la recourante invoque tout d’abord une violation de son droit d’être entendue. Elle reproche à la juge de paix d’avoir refusé d’entendre C.B.________ dans le cadre de la procédure d’exécution forcée. Selon elle, l’audition de sa fille était nécessaire et aurait amené des éléments, notamment des explications sur les motifs pour lesquels C.B.________ aurait si peur de son père, au point de ne plus vouloir se rendre chez lui. Son audition aurait aussi été d’autant plus nécessaire en raison de la rupture du lien de confiance avec sa pédopsychiatre, impliquant l’arrêt de son suivi et empêchant ainsi qu’elle soit entendue à court terme par un spécialiste.</w:t>
      </w:r>
    </w:p>
    <w:p>
      <w:r>
        <w:rPr>
          <w:b/>
        </w:rPr>
        <w:t>E. 4.2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 e éd., Bâle 2019, nn. 19 et 20 ad art. 53 CPC).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w:t>
      </w:r>
    </w:p>
    <w:p>
      <w:r>
        <w:rPr>
          <w:b/>
        </w:rPr>
        <w:t>E. 4.3</w:t>
      </w:r>
    </w:p>
    <w:p>
      <w:r>
        <w:t>En l’espèce, on constate que la juge de paix a minutieusement motivé sa décision, expliquant les raisons pour lesquelles elle n’entendait pas auditionner C.B.________, alors même qu’elle n’avait pas à le faire dans le cadre d’une procédure d’exécution forcée, étant observé que seuls les moyens limités de l’art. 341 al. 3 CPC peuvent être examinés et qu’il ne revient surtout pas au juge de l’exécution forcée de se substituer au juge ordinaire, en charge de juger d’éventuelles modifications du jugement de divorce. Le droit d’être entendu de la recourante n’a ainsi pas été violé. Le grief doit être rejeté.</w:t>
      </w:r>
    </w:p>
    <w:p>
      <w:r>
        <w:rPr>
          <w:b/>
        </w:rPr>
        <w:t>E. 5.1</w:t>
      </w:r>
    </w:p>
    <w:p>
      <w:r>
        <w:t>Dans un second grief, la recourante se prévaut d’une appréciation arbitraire des preuves. Elle fait valoir que la juge de paix n’aurait à aucun moment pris au sérieux les différents et nombreux motifs qui l’ont poussée à ne plus amener C.B.________ chez son père. La recourante affirme ainsi que la juge de paix aurait procédé à une mauvaise appréciation des preuves en se fondant uniquement sur les éléments apportés par l’intimé et en refusant ses propres offres de preuves.</w:t>
      </w:r>
    </w:p>
    <w:p>
      <w:r>
        <w:rPr>
          <w:b/>
        </w:rPr>
        <w:t>E. 5.2</w:t>
      </w:r>
    </w:p>
    <w:p>
      <w:r>
        <w:t>En l’espèce, la recourante perd de vue que le juge de l’exécution forcée n’est pas compétent pour régler à nouveau et différemment du jugement de divorce les droits des parents, en invoquant de manière générale l’intérêt de l’enfant. C’est le juge ordinaire, et non le juge de l’exécution, qui doit décider de la modification d’un jugement de divorce. Dans le cadre d’une procédure de modification, des mesures provisionnelles peuvent en outre être prononcées pour éviter l’exécution forcée du jugement remis en cause. Le juge de l’exécution peut refuser que l’enfant soit rendu au parent auquel le jugement de divorce a attribué l’autorité parentale et la garde, et faire réaliser une expertise psychiatrique qui réponde à la question de savoir si l’on doit faire respecter par l’exécution forcée l’attribution de l’enfant ordonnée par le jugement de divorce, quand le parent qui est tenu de rendre l’enfant en a pris soin pendant un certain temps (ATF 111 II 313 consid. 4 et 5). On ne se trouve, en l’espèce, pas dans un tel cas de figure. Jusqu’au 24 mai 2024, la garde partagée a été exercée, l’enfant étant habituée à passer autant de temps avec son père qu’avec sa mère. Par ailleurs, une demande de modification de jugement de divorce a été déposée le 12 juin 2024 et des mesures provisionnelles, dans ce cadre-là, seraient à même de préserver le bien de l’enfant C.B.________, si celle-ci devait se trouver en danger auprès de son père – ce qui n’est pas suffisamment établi au stade de l’exécution forcée. En effet, la recourante énumère dans son écriture les raisons qui l’ont poussée à ne plus amener l’enfant chez son père, notamment l’accident du 21 mai 2024 lors duquel l’intimé aurait été brusque avec C.B.________ ou encore la sous-alimentation dont cette dernière se plaindrait de souffrir chez son père, sans toutefois prouver à satisfaction de droit ses diverses allégations, si bien qu’il ne peut être reproché à la juge de paix de ne pas en avoir tenu compte. Sur la base de ce qui précède, l’on ne saurait retenir l’existence d’éléments de mise en danger de l’enfant qui feraient obstacle à l’exécution requise et ordonnée par la juge de paix, étant rappelé qu’une procédure en modification du jugement de divorce est parallèlement pendante. Le grief doit être rejeté.</w:t>
      </w:r>
    </w:p>
    <w:p>
      <w:r>
        <w:rPr>
          <w:b/>
        </w:rPr>
        <w:t>E. 6.1</w:t>
      </w:r>
    </w:p>
    <w:p>
      <w:r>
        <w:t>En définitive, le recours, manifestement infondé, doit être rejeté (art. 322 al. 1 in fine CPC) et la décision entreprise confirmée. Les frais judiciaires de deuxième instance, arrêtés à 100 fr. (art. 69 al. 1 TFJC [Tarif des frais judiciaires en matière civile du 28 septembre 2010 ; BLV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A.B.________. IV. L’arrêt est exécutoire. La vice-présidente : Le greffier : Du L'arrêt qui précède, dont la rédaction a été approuvée à huis clos, est notifié à : ‑ Me Martine Rüdlinger (pour A.B.________), ‑ Me Léonard Bruchez (pour B.B.________).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