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737 vom 14. Oktober 2024</w:t>
      </w:r>
    </w:p>
    <w:p>
      <w:r>
        <w:t>VD Tribunal cantonal, 2024-10-14, FR</w:t>
      </w:r>
    </w:p>
    <w:p>
      <w:r>
        <w:rPr>
          <w:b/>
        </w:rPr>
        <w:t xml:space="preserve">Quelle: </w:t>
      </w:r>
      <w:r>
        <w:t>https://mcp.opencaselaw.ch/entscheid/vd_findinfo_HC___2024___737</w:t>
      </w:r>
    </w:p>
    <w:p>
      <w:r>
        <w:t>FR: VD_FINDINFO HC / 2024 / 737 du 14 octobre 2024</w:t>
      </w:r>
    </w:p>
    <w:p>
      <w:r>
        <w:t>IT: VD_FINDINFO HC / 2024 / 737 del 14 ottobre 2024</w:t>
      </w:r>
    </w:p>
    <w:p>
      <w:pPr>
        <w:pStyle w:val="Heading2"/>
      </w:pPr>
      <w:r>
        <w:t>Regeste</w:t>
      </w:r>
    </w:p>
    <w:p>
      <w:r>
        <w:t>MESURE PROVISIONNELLE, PROTECTION DE LA PERSONNALITÉ, LOCATAIRE, REJET DE LA DEMANDE | 28 CC, 28b al. 1 CC, 28b al. 2 CC, 261 al. 1 CPC (CH), 261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Un membre de la Cour d’appel civile statue comme juge unique sur les appels formés contre de telles décisions (art. 84 al. 2 LOJV [loi d’organisation judiciaire du 12 décembre 1979 ; BLV 173.01]).</w:t>
      </w:r>
    </w:p>
    <w:p>
      <w:r>
        <w:rPr>
          <w:b/>
        </w:rPr>
        <w:t>E. 1.2</w:t>
      </w:r>
    </w:p>
    <w:p>
      <w:r>
        <w:t>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4A_333/2023 du 23 février 2024 consid. 5.1). A défaut, l'appel est irrecevable (ATF 147 III 176 consid. 4.2 ; TF 5A_524/2023 du 14 décembre 2023 consid. 3.3.1). Ni la maxime d’office ni la maxime inquisitoire illimitée ne permettent de relativiser les exigences posées par l’art. 311 CPC (TF 5A_23/2023 du 17 janvier 2024 consid. 4.3 ; TF 5A_532/2021 du 22 novembre 2021 consid. 2.3).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La procédure d’appel selon le CPC n’a pas pour fonction de refaire les débats principaux, mais de contrôler le bien-fondé de la décision attaquée sur la base des griefs des parties (CACI 16 avril 2024 consid. 1.1.2 et réf. cit.).</w:t>
      </w:r>
    </w:p>
    <w:p>
      <w:r>
        <w:rPr>
          <w:b/>
        </w:rPr>
        <w:t>E. 1.3</w:t>
      </w:r>
    </w:p>
    <w:p>
      <w:r>
        <w:t>En l’espèce, en pages 4 à 16 de son mémoire d’appel, l’appelant introduit 33 allégués avec offres de preuve. Parmi ces allégués, seuls seront examinés ( infra ) ceux qui sont reliés, de manière claire et nette, à un grief dirigé contre la décision attaquée ; les autres, faute de satisfaire aux exigences de motivation qui découlent de l’art. 311 CPC, sont irrecevables. Sous cette réserve, formé en temps utile, auprès de la bonne autorité, par une partie qui a un intérêt digne de protection (art. 59 al. 2 let. a CPC), contre une ordonnance de mesures provisionnelles et dans une cause portant sur des conclusions non patrimoniales,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 ; TF 5A_891/2022 du 11 janvier 2024 consid. 4.3.1).</w:t>
      </w:r>
    </w:p>
    <w:p>
      <w:r>
        <w:rPr>
          <w:b/>
        </w:rPr>
        <w:t>E. 2.2.1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En ce qui concerne les faux nova ,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(ATF 144 III 349 consid. 4.2.1 ; ATF 143 III 272 consid. 2.3 ; ATF 143 III 42 consid. 4.1 et 5.1 ; TF 5A_451/2020 du 31 mars 2021 consid. 3.1.1).</w:t>
      </w:r>
    </w:p>
    <w:p>
      <w:r>
        <w:rPr>
          <w:b/>
        </w:rPr>
        <w:t>E. 2.2.2</w:t>
      </w:r>
    </w:p>
    <w:p>
      <w:r>
        <w:t>A l’appui de sa réponse, l’intimée a produit le procès-verbal d’audition de l’appelant du 22 novembre 2023 devant la Police cantonale vaudoise. Elle n’explique toutefois pas la raison pour laquelle elle n’aurait pas pu, en faisant preuve de la diligence requise, produire cette pièce devant l’autorité de première instance. Partant, il y a lieu de considérer qu’elle aurait pu s’en prévaloir antérieurement et il n’a pas été tenu compte de ce moyen de preuve, irrecevable.</w:t>
      </w:r>
    </w:p>
    <w:p>
      <w:r>
        <w:rPr>
          <w:b/>
        </w:rPr>
        <w:t>E. 2.3.1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138 III 374 consid. 4.3.1 ; ATF 128 III 411 consid. 3.2.1 ; TF 5A_895/2022 du 17 juillet 2023 consid. 9.3). Cette disposition ne confère toutefois pas au justiciable un droit à la réouverture de la procédure probatoire et à l’administration de preuves. Le droit à la preuve, comme le droit à la contre-preuve, qu’ils découlent de l’art. 8 CC (Code civil suisse du 10 décembre 1907 ; RS 210) ou de l’art. 29 al. 2 Cst. (Constitution fédérale de la Confédération suisse du 18 avril 1999 ; RS 101), n’excluent pas l’appréciation anticipée des preuves (ATF 138 III 374 consid. 4.3.1 et réf. cit. ; TF 5A_895/2022 précité consid. 9.3).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pas l’amener à modifier son opinion (ATF 145 I 167 consid. 4.1 ; ATF 140 I 285 consid. 6.3.1 ; ATF 138 III 374 consid. 4.3.2 ; sur le tout TF 5A_695/2020 du 26 avril 2021 consid. 3.2.2 et réf. cit.).</w:t>
      </w:r>
    </w:p>
    <w:p>
      <w:r>
        <w:rPr>
          <w:b/>
        </w:rPr>
        <w:t>E. 2.3.2</w:t>
      </w:r>
    </w:p>
    <w:p>
      <w:r>
        <w:t>L’appelant reproche à la présidente d’avoir refusé d’entendre son ami C.________, ainsi que d’ordonner la production de certaines pièces par l’intimée. Ces moyens de preuve tendraient à prouver que l’intimée n’a aucune attache avec la Suisse, qu’elle n’entrepose aucun meuble dans le local loué et que l’appelant n’a pas emporté avec lui des objets appartenant à l’intimée. En l’occurrence, les moyens de preuve requis ne peuvent pas fournir la preuve attendue et/ou ne peuvent pas prévaloir sur les autres moyens de preuve déjà administrés. Même si C.________ s’est rendu dans le local loué avec l’appelant, il est peu probable qu’il puisse confirmer la propriété des objets entreposés dans celui-ci et il ne pourrait a priori que confirmer ce qui lui a été rapporté par l’appelant. On ne peut pas non plus exclure que l’appelant se soit rendu à une autre reprise dans le local loué, non accompagné. Le témoignage requis n’est ainsi pas déterminant. Au demeurant, comme cela sera exposé ci-après, les preuves concernant le domicile de l’intimée et son activité lucrative en Suisse ne sont à ce stade pas pertinentes. Partant, il y a lieu de rejeter les réquisitions de preuve formées par l’appelant.</w:t>
      </w:r>
    </w:p>
    <w:p>
      <w:r>
        <w:rPr>
          <w:b/>
        </w:rPr>
        <w:t>E. 3</w:t>
      </w:r>
    </w:p>
    <w:p>
      <w:r>
        <w:t>L’appelant fait grief à la présidente d’avoir violé les art. 261 CPC et 28b CC. Il se plaint en outre d’une appréciation arbitraire des preuves et d’une violation du droit à la preuve, ainsi que d’une motivation insuffisante de la décision attaquée.</w:t>
      </w:r>
    </w:p>
    <w:p>
      <w:r>
        <w:rPr>
          <w:b/>
        </w:rPr>
        <w:t>E. 3.1.1</w:t>
      </w:r>
    </w:p>
    <w:p>
      <w:r>
        <w:t>Aux termes de l'art. 261 al. 1 CPC, le tribunal ordonne les mesures provisionnelles nécessaires lorsque le requérant rend vraisemblable qu'une prétention dont il est titulaire réalise les conditions suivantes : elle est l'objet d'une atteinte ou risque de l'être (let. a) et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139 III 86 consid. 4.2). Le dommage difficilement réparable de l'art. 261 al. 1 let. b CPC est principalement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Si les conditions susmentionnées sont remplies, le juge ordonne les mesures nécessaires. Pour ce faire, il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III 378 consid. 6.4 ; ATF 131 III 473 consid. 2.3, JdT 2005 I 305 ; Bohnet, in : Commentaire romand, Code de procédure civile, 2 ème éd., Bâle 2019, nn. 14 et 17 ad art. 261 CPC). Conformément à l’art. 262 CPC, le tribunal peut ordonner toute mesure provisionnelle propre à prévenir ou à faire cesser le préjudice, notamment une interdiction (let. a), l’ordre de cessation d’un état de fait illicite (let. b), l’ordre donné à une autorité qui tient un registre ou à un tiers (let. c), la fourniture d’une prestation en nature (let. d) ou le versement d’une prestation en argent, lorsque la loi le prévoit (let. e).</w:t>
      </w:r>
    </w:p>
    <w:p>
      <w:r>
        <w:rPr>
          <w:b/>
        </w:rPr>
        <w:t>E. 3.1.2</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peut requérir le juge d’interdire une atteinte illicite, si elle est imminente, de la faire cesser, si elle dure encore et d’en constater le caractère illicite, si le trouble qu’elle a créé subsiste (art. 28a al. 1 CC).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in : Commentaire romand, Code civil I, Art. 1-456 CC, 2 ème éd., Bâle 2024, nn. 67 ss ad art. 28 CC et réf. cit.). 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L’art. 28b CC – qui est une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 Jeandin, op. cit. , n. 3 ad art. 28b CC et réf. cit.). L’art. 28b CC protège la personnalité contre des atteintes spécifiques, à savoir celles qui prennent la forme de violence, menaces ou harcèlement. Selon la jurisprudence du Tribunal fédéral (TF 5A_377/2009 du 3 septembre 2009 consid. 5.3.1), la violence s’entend comme une 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à la personnalité sont à prévoir. Dans ce cas également, il doit s’agir d’une menace sérieuse qui fasse craindre la victime pour son intégrité physique, psychique, sexuelle et sociale. Enfin, le harcèlement se réfère à la poursuite et au harcèlement obsessionnel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(Jeandin, op. cit. , nn. 11 ss ad art. 28b CC et réf. cit. ; Meier, Droit des personnes, 2 ème éd. Bâle 2021, n. 954).</w:t>
      </w:r>
    </w:p>
    <w:p>
      <w:r>
        <w:rPr>
          <w:b/>
        </w:rPr>
        <w:t>E. 3.2.1</w:t>
      </w:r>
    </w:p>
    <w:p>
      <w:r>
        <w:t>L’appelant se plaint du fait que la présidente n’a pas examiné la question de la validité du contrat de bail du 31 octobre 2022. Il soutient qu’un tel contrat est nul car sa mère n’était plus capable de discernement et que le contrat n’avait pas été validé par Me W.________, qui n’en avait même pas connaissance. Selon lui, ce contrat a été inventé de toute pièce afin de le tenir éloigné des biens de la succession entreposés dans l’immeuble litigieux. Il souligne à cet égard le montant dérisoire du loyer par rapport à la surface louée. Contrairement à ce que soutient l’appelant, bien que la présidente ait considéré qu’il ne lui incombait pas d’examiner la question de la validité du contrat de bail litigieux, celle-ci relevant de la compétence du Tribunal des baux, elle a bien examiné cette question dans le cadre de la vraisemblance du préjudice invoqué par l’intimée à l’appui de sa requête de mesures provisionnelles. La présidente a ainsi retenu qu’au stade de la vraisemblance, le contrat de bail apparaissait valable, en soulignant qu’il existait un contrat écrit et que le fait que l’intimée soit ou non domiciliée en Suisse ou ait ou non une activité lucrative dans ce pays n’influait pas sur la validité du contrat (ordonnance, p. 5). L’appréciation de la présidente – suffisamment motivée – peut être confirmée. Il est d’abord relevé que l’appelant, qui conteste la validité du contrat de bail du 31 octobre 2022 dans le cadre de la présente procédure, n’a pas introduit d’action en ce sens devant le Tribunal des baux. L’intimée a quant à elle produit un contrat écrit, signé par la défunte ainsi que par son fils, qui était chargé de la gestion de l’immeuble litigieux. Elle a également démontré payer le loyer depuis le 25 avril 2023, soit avant le décès de D.M.________. Il ressort en outre des faits établis qu’une plaque avec le nom de son entreprise individuelle était fixée sur la porte de l’immeuble litigieux. Enfin, l’exécuteur testamentaire a lui-même constaté la présence dans le local loué d’objets qui ne relevaient pas de la succession. Ainsi, bien que la thèse de l’appelant ne puisse être totalement exclue et devra faire l’objet d’un examen plus approfondi dans le cadre d’une procédure au fond, les éléments qui précèdent suffisent à rendre vraisemblable l’existence d’un contrat de bail valable. Partant, le grief est infondé.</w:t>
      </w:r>
    </w:p>
    <w:p>
      <w:r>
        <w:rPr>
          <w:b/>
        </w:rPr>
        <w:t>E. 3.2.2</w:t>
      </w:r>
    </w:p>
    <w:p>
      <w:r>
        <w:t>L’appelant reproche à la présidente d’avoir considéré que la question du lieu de domicile de l’intimée n’était pas pertinente. Il fait valoir qu’en raison du fait que l’intimée réside à l’étranger, on ne saurait considérer qu’elle serait victime de harcèlement en Suisse. Comme on l’a vu ci-dessus, la présidente a retenu que la question du lieu de domicile de l’intimée et de l’existence d’une activité lucrative de celle-ci en Suisse n’empêchait aucunement la conclusion d’un contrat de bail de locaux commerciaux en Suisse (ordonnance, p. 5). La présidente ne s’est pas expressément exprimée sur la pertinence de cette question s’agissant de la possibilité d’une atteinte à la personnalité de l’intimée. Toutefois, elle a retenu que, le 20 octobre 2023, l’intimée, accompagnée d’un serrurier, était venue constater elle-même le résultat de l’intrusion de l’appelant dans le local loué, qu’elle avait formé plainte pénale le jour-même, que le 5 novembre 2023, elle avait retrouvé l’enseigne de sa raison individuelle recouverte de peinture rouge et que, le 24 novembre 2023, elle avait mandaté une entreprise pour déboucher les canalisations du local loué (ordonnance, p. 6). L’intimée a en outre établi être affiliée auprès de la Caisse AVS de la Fédération patronale vaudoise en qualité d’indépendante pour une activité de décoration d’intérieur depuis le 1 er janvier 2018 et s’être fait livrer des meubles au local loué le 30 novembre 2023. Il s’ensuit que l’intimée a démontré être suffisamment présente en Suisse, et plus particulièrement au local loué, pour y être victime de harcèlement. Partant, le grief est rejeté.</w:t>
      </w:r>
    </w:p>
    <w:p>
      <w:r>
        <w:rPr>
          <w:b/>
        </w:rPr>
        <w:t>E. 3.2.3</w:t>
      </w:r>
    </w:p>
    <w:p>
      <w:r>
        <w:t>S’agissant de la réalisation des conditions à l’octroi de mesures provisionnelles, la présidente a considéré que l’intimée avait rendu vraisemblable que l’appelant l’importunait régulièrement aux abords, voire dans le local loué, et qu’il y avait lieu d’admettre à ce stade que ces agissements puissent être constitutifs de harcèlement. Elle a en outre retenu que les mesures requises étaient proportionnées (ordonnance, p. 7). Il y a lieu de confirmer l’appréciation de l’autorité de première instance. Au stade de la vraisemblance, il apparaît en effet que l’appelant s’est introduit sans droit dans le local loué par l’intimée, a surveillé ses allées et venues dans celui-ci et a tenté de l’intimider. L’appelant ne nie en effet pas avoir changé la serrure du local loué, avoir jeté de la peinture sur l’enseigne de l’intimée et observé le local loué (notamment lors d’interventions d’ouvriers ou de livraisons). Il appartiendra au juge du fond de déterminer si ces atteintes revêtent bien l’intensité d’un harcèlement au sens de l’art. 28b CC, ce qui apparaît vraisemblable à ce stade, étant souligné que même dans l’hypothèse où tel ne serait pas le cas, les mesures requises pourraient aussi se justifier en application de l’art. 262 CPC sous l’angle de l’atteinte aux droits du locataire. S’agissant du risque de préjudice difficilement réparable, comme l’a relevé la présidente (ordonnance, p. 7), l’appelant apparaît résolu à se rendre justice lui-même et un risque de réitération en l’absence de mesures est ainsi vraisemblable. Enfin, les mesures requises apparaissent proportionnées en ce sens qu’elles ne désavantagent pas spécialement l’appelant. Ce dernier n’a pas d’intérêt particulier à pouvoir se rendre dans l’immeuble litigieux compte tenu du fait que les biens objets de la succession entreposés dans celui-ci ont été inventoriés et que la succession est gérée par un exécuteur testamentaire. C’est le lieu de relever que la valeur de ces biens est estimée à 400 fr. et qu’il paraît ainsi peu vraisemblable que, comme le soutient l’appelant, l’intimée, agissant de concert avec C.M.________, puisse requérir des mesures provisionnelles à l’encontre de l’appelant dans le seul but de l’empêcher d’accéder aux biens de la succession et de disposer librement de ceux-ci. Au vu de ce qui précède, c’est à juste titre que la présidente a admis la requête de mesures provisionnelles déposée par l’intimée le 11 décembre 2023.</w:t>
      </w:r>
    </w:p>
    <w:p>
      <w:r>
        <w:rPr>
          <w:b/>
        </w:rPr>
        <w:t>E. 4</w:t>
      </w:r>
    </w:p>
    <w:p>
      <w:r>
        <w:t>L’appelant reproche encore à la présidente d’avoir fixé les dépens en violation du droit et d’avoir abusé de son pouvoir d’appréciation.</w:t>
      </w:r>
    </w:p>
    <w:p>
      <w:r>
        <w:rPr>
          <w:b/>
        </w:rPr>
        <w:t>E. 4.1.1</w:t>
      </w:r>
    </w:p>
    <w:p>
      <w:r>
        <w:t>En règle générale, la partie qui succombe est tenue de rembourser à la partie qui a obtenu gain de cause tous les frais nécessaires causés par le litige (art. 3 al. 1 TDC [tarif des dépens en matière civile du 23 novembre 2010 ; BLV 270.11.6]). Dans les contestations portant sur des affaires non patrimoniales, le défraiement est fixé entre 600 fr. et 50'000 fr. en première instance, en fonction de l'importance et de la difficulté de la cause ainsi que selon le travail effectué (art. 9 al. 1 TDC).</w:t>
      </w:r>
    </w:p>
    <w:p>
      <w:r>
        <w:rPr>
          <w:b/>
        </w:rPr>
        <w:t>E. 4.1.2</w:t>
      </w:r>
    </w:p>
    <w:p>
      <w:r>
        <w:t>Lorsque le sort des frais de première instance est attaqué de manière séparée, c'est-à-dire indépendamment de l'issue de la procédure au fond, les conclusions doivent préciser, sous peine d'irrecevabilité, quel montant devrait être mis à la charge de quelle partie. Est ainsi irrecevable la conclusion tendant à ce que, même en cas de rejet de l'appel au fond, les frais soient mis à la charge de la partie adverse « dans une plus large mesure » (TF 4D_14/2023 du 15 mai 2023 consid. 3.3 ; TF 4A_35/2015 du 12 juin 2015 consid. 3.2. et 3.3).</w:t>
      </w:r>
    </w:p>
    <w:p>
      <w:r>
        <w:rPr>
          <w:b/>
        </w:rPr>
        <w:t>E. 4.2</w:t>
      </w:r>
    </w:p>
    <w:p>
      <w:r>
        <w:t>En l’occurrence, la présidente a arrêté les dépens à charge de l’appelant à 2'500 fr. en se fondant sur les articles 3 et 9 TDC (ordonnance, p. 8). L’appelant soutient que l’allocation de dépens de 2'500 fr. dans le cas d’espèce suggérerait une certaine complexité, alors que le cas serait simple. Il fait valoir qu’à supposer que l’ordonnance entreprise soit maintenue quant aux mesures prononcées, les dépens devraient être réduits « proportionnellement au véritable exécuté par la défense adverse [sic] » sans toutefois chiffrer ce montant. Son moyen est irrecevable, dès lors qu’il n’a pas pris de conclusions chiffrées sur ce point, comme il lui appartenait de le faire. Il incombait en effet à l’appelant de préciser le montant des dépens qu’il estimait justifié, et non simplement d’indiquer, de manière superficielle, qu’il contestait le montant arrêté par la présidente. De plus, la motivation de l’appelant n’est pas suffisamment explicite et intelligible et n’aide aucunement à cet égard. Ainsi, le moyen de l’appelant ne répond pas aux réquisits de l’art. 311 CPC. Au demeurant, le montant de 2'500 fr. alloué à titre de dépens par la présidente entre clairement dans le bas de la fourchette prévue par l’art. 9 al. 1 TDC et ne prête en l’espèce pas le flanc à la critique. A supposer recevable, le moyen aurait donc été infondé.</w:t>
      </w:r>
    </w:p>
    <w:p>
      <w:r>
        <w:rPr>
          <w:b/>
        </w:rPr>
        <w:t>E. 5.1</w:t>
      </w:r>
    </w:p>
    <w:p>
      <w:r>
        <w:t>En définitive, l’appel doit être rejeté, dans la mesure de sa recevabilité, et l’ordonnance entreprise confirmée.</w:t>
      </w:r>
    </w:p>
    <w:p>
      <w:r>
        <w:rPr>
          <w:b/>
        </w:rPr>
        <w:t>E. 5.2</w:t>
      </w:r>
    </w:p>
    <w:p>
      <w:r>
        <w:t>Vu l’issue de l’appel, les frais judiciaires de deuxième instance, arrêtés à 1'000 fr., soit 800 fr. pour l’émolument d’arrêt (art. 65 al. 1 TFJC [tarif des frais judiciaires civils du 28 septembre 2010 ; BLV 270.11.5]) et 200 fr. pour l’ordonnance d’effet suspensif (art. 7 et 30 TFJC), sont mis à la charge de l’appelant, qui succombe (art. 106 al. 1 CPC).</w:t>
      </w:r>
    </w:p>
    <w:p>
      <w:r>
        <w:rPr>
          <w:b/>
        </w:rPr>
        <w:t>E. 5.3</w:t>
      </w:r>
    </w:p>
    <w:p>
      <w:r>
        <w:t>L’appelant versera à l’intimée la somme de 2’000 fr. (art. 3 al. 4 et 9 al. 2 TDC [tarif des dépens en matière civile du 23 novembre 2010 ; BLV 270.11.6]) à titre de dépens de deuxième instance. Par ces motifs, le Juge unique de la Cour d’appel civile prononce : I. L’appel est rejeté dans la mesure où il est recevable. II. L’ordonnance est confirmée. III. Les frais judiciaires de deuxième instance, arrêtés à 1'000 fr. (mille francs), sont mis à la charge de l’appelant A.M.________. IV. L’appelant A.M.________ versera à l’intimée B.M.________ un montant de 2'000 fr. (deux mille francs) à titre de dépens de deuxième instance. V. L’arrêt est exécutoire. Le juge unique :               La greffière : Du Le présent arrêt, dont la rédaction a été approuvée à huis clos, est notifié en expédition complète à : ‑ Me Albert J. Graf (pour A.M.________) ; ‑ Me Vincent Demierre (pour B.M.________),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