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717 vom 9. September 2024</w:t>
      </w:r>
    </w:p>
    <w:p>
      <w:r>
        <w:t>VD Tribunal cantonal, 2024-09-09, FR</w:t>
      </w:r>
    </w:p>
    <w:p>
      <w:r>
        <w:rPr>
          <w:b/>
        </w:rPr>
        <w:t xml:space="preserve">Quelle: </w:t>
      </w:r>
      <w:r>
        <w:t>https://mcp.opencaselaw.ch/entscheid/vd_findinfo_HC___2024___717</w:t>
      </w:r>
    </w:p>
    <w:p>
      <w:r>
        <w:t>FR: VD_FINDINFO HC / 2024 / 717 du 9 septembre 2024</w:t>
      </w:r>
    </w:p>
    <w:p>
      <w:r>
        <w:t>IT: VD_FINDINFO HC / 2024 / 717 del 9 settembre 2024</w:t>
      </w:r>
    </w:p>
    <w:p>
      <w:pPr>
        <w:pStyle w:val="Heading2"/>
      </w:pPr>
      <w:r>
        <w:t>Regeste</w:t>
      </w:r>
    </w:p>
    <w:p>
      <w:r>
        <w:t>ASSISTANCE JUDICIAIRE, DROIT D'ÊTRE ENTENDU, ARBITRAIRE DANS L'APPLICATION DU DROIT, CONNAISSANCE, LETTRE DE CONFIRMATION, HONORAIRES, AVOCAT D'OFFICE | 29 Cst., 122 al. 1 let. a CPC (CH)</w:t>
      </w:r>
    </w:p>
    <w:p>
      <w:pPr>
        <w:pStyle w:val="Heading2"/>
      </w:pPr>
      <w:r>
        <w:t>Erwägungen</w:t>
      </w:r>
    </w:p>
    <w:p>
      <w:r>
        <w:rPr>
          <w:b/>
        </w:rPr>
        <w:t>E. 1.1</w:t>
      </w:r>
    </w:p>
    <w:p>
      <w:r>
        <w:t>La décision arrêtant la rémunération du conseil d’office au sens de l’art. 122 al. 1 let. a CPC est une décision sur frais qui ne peut être attaquée séparément que par un recours selon l’art. 110 CPC (CREC 27 février 2024/52 consid. 1.1 ; CREC 18 octobre 2023/206 consid. 1.1 ; Tappy, Commentaire romand, Code de procédure civile, 2 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 CREC 27 février 2024/52 consid. 1.1 ; CREC 18 octobre 2023/206 consid. 1.1).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5D_11/2022 du 25 mars 2022 consid. 1.3 ; TF 5D_7/2019 du 5 août 2019 consid. 1.3 non publié in ATF 145 III 433 ; CREC 27 février 2024/52 consid. 1.1 ; Tappy, op. cit. , n. 22 ad art. 122 CPC).</w:t>
      </w:r>
    </w:p>
    <w:p>
      <w:r>
        <w:rPr>
          <w:b/>
        </w:rPr>
        <w:t>E. 1.2</w:t>
      </w:r>
    </w:p>
    <w:p>
      <w:r>
        <w:t>En l’espèce, formé en temps utile par une personne disposant d’un intérêt digne de protection (art. 59 al. 2 let. a CPC), le recours, écrit et motivé (art. 321 al. 1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conteste la réduction de ses opérations et soutient qu’elle n’aurait pas été rémunérée équitablement par le premier juge. Elle se plaint en particulier des réductions de 1 heure et 5 minutes pour les examens de courriers et de 1 heure et 50 minutes pour les échanges de courriers. Elle invoque une violation de son droit d’être entendue, le schématisme des réductions opérées et la réalité de la durée des opérations facturées pour soutenir qu’aucun retranchement n’était justifié.</w:t>
      </w:r>
    </w:p>
    <w:p>
      <w:r>
        <w:rPr>
          <w:b/>
        </w:rPr>
        <w:t>E. 3.2.1</w:t>
      </w:r>
    </w:p>
    <w:p>
      <w:r>
        <w:t>Le droit d’être entendu garanti par l’art. 29 al. 2 Cst. – concrétisé à l’art. 53 CPC en procédure civile – implique pour l’autorité l’obligation de motiver sa décision (ATF 145 IV 407 consid. 3.4.1 ; ATF 143 III 65 consid. 5.2 ; ATF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ATF 143 III 65, loc. cit. ; ATF 141 V 557 consid. 3.2.1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(sur le tout : TF 5A_445/2023 du 2 octobre 2023 consid. 3.1 et les réf. citées ; TF 5A_961/2022 du 11 mai 2023 consid. 3.2).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Par ailleurs, la garantie du droit d’être entendu n’oblige pas l’autorité à donner, dans chaque cas, à l’avocat d'office qui présente une note de frais et d’honoraires l’occasion de fournir des explications ultérieures. Par conséquent, une réduction de la créance d’honoraires de l’avocat sans audition complémentaire ne doit en principe pas être considérée comme une violation du droit d'être entendu (TF  5D_31/2022 du 11 août 2022 consid. 6 ; TF 5A_705/2014 du 15 octobre 2014 consid. 7.1, SJ 2015 I 78 ).</w:t>
      </w:r>
    </w:p>
    <w:p>
      <w:r>
        <w:rPr>
          <w:b/>
        </w:rPr>
        <w:t>E. 3.2.2.1</w:t>
      </w:r>
    </w:p>
    <w:p>
      <w:r>
        <w:t>Selon l’art. 122 al. 1 let. a CPC, le conseil juridique commis d’office est rémunéré équitablement par le canton. Cette notion de « rémunération équitable » , aux contours imprécis, doit permettre aux cantons de fixer, sur la base d’un large pouvoir d’appréciation, le montant de l’indemnité allouée au conseil d’office dans les limites de leur tarif des frais (art. 96 CPC ; TF 5D_118/2021 du 15 octobre 2021 consid. 5.1.1 ; TF 5A 82/2018 du 15 juin 2018 consid. 6.2.1 et les réf. citées).</w:t>
      </w:r>
    </w:p>
    <w:p>
      <w:r>
        <w:rPr>
          <w:b/>
        </w:rPr>
        <w:t>E. 3.2.2.2</w:t>
      </w:r>
    </w:p>
    <w:p>
      <w:r>
        <w:t>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déjà 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w:t>
      </w:r>
    </w:p>
    <w:p>
      <w:r>
        <w:rPr>
          <w:b/>
        </w:rPr>
        <w:t>E. 3.2.2.3</w:t>
      </w:r>
    </w:p>
    <w:p>
      <w:r>
        <w:t>Dans le canton de Vaud, l’art. 2 al. 1 RAJ (règlement du 7 décembre 2010 sur l’assistance judiciaire en matière civile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Le temps consacré à la prise de connaissance de courriers ou de courriels n’impliquant qu’une lecture cursive et brève ne peut pas être pris en compte à titre d’activité déployée par l’avocat et n’a pas à être rémunéré (CREC 17 janvier 2024/14 consid. 4.3 ; CACI 22 mars 2017/124 consid. 4.4 ; CCUR 29 novembre 2016/266 consid. 4.3.5). Il en va de même du temps indiqué pour la rédaction de mémos ou d’avis de transmission (cinq ou dix minutes), s’agissant de pur travail de secrétariat (CREC 6 novembre 2023/228 consid. 3.2.2 ; CREC 11 août 2017/294 consid. 4.2 ; CREC 3 août 2016/301 consid. 3.2.2.2). En outre,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(CREC 17 janvier 2024/14 consid. 4.2 ; CCUR 25 octobre 2017/204 consid. 3.2.3 ; CACI 22 mars 2017/124 consid. 4.4). Il est admissible de considérer que les opérations correspondant à l’envoi de courriels au client le même jour qu’un courrier à la partie adverse et/ou au tribunal, toutes comptabilisées de manière forfaitaire à, par exemple, 12 minutes, constituent manifestement des mémos non facturables (CREC 6 novembre 2023/228 consid. 3.2.2 ; CREC 15 août 2022/188 consid. 5.2). C’est à l’avocat d’office de démontrer que les opérations pour lesquelles il entend être indemnisé étaient justifiées, quitte à fournir une note explicative avec sa note de frais (CREC 6 novembre 2023/228 consid. 3.3.2).</w:t>
      </w:r>
    </w:p>
    <w:p>
      <w:r>
        <w:rPr>
          <w:b/>
        </w:rPr>
        <w:t>E. 3.3.1.1</w:t>
      </w:r>
    </w:p>
    <w:p>
      <w:r>
        <w:t>Dans un moyen formel qu’il convient d’examiner en premier lieu, la recourante invoque plusieurs violations de son droit d’être entendue. Elle soutient que le président aurait justifié la réduction systématique de cinq minutes des opérations intitulées « échanges de courriers » et toutes les opérations libellées « examens de courriers » (cinq minutes par opération) au motif qu’elles ne demandaient qu’une lecture cursive et brève de « quelques secondes pour un avocat correctement formé. » Cette motivation ne permettrait pas de comprendre de quelle manière le président est parvenu à ce résultat. La recourante reproche également au premier juge de ne pas l’avoir interpellée avant de réduire la liste des opérations du 24 juillet 2024.</w:t>
      </w:r>
    </w:p>
    <w:p>
      <w:r>
        <w:rPr>
          <w:b/>
        </w:rPr>
        <w:t>E. 3.3.1.2</w:t>
      </w:r>
    </w:p>
    <w:p>
      <w:r>
        <w:t>En l’espèce, on ne discerne aucune violation du droit d’être entendue de la recourante, le premier juge ayant clairement indiqué pour quel motif, pour quel poste et pour quelle durée il procédait aux réductions contestées de la liste des opérations présentée par le conseil d’office. Il ressort d’ailleurs de l’acte de recours que l’intéressée a parfaitement compris les motifs retenus par le premier juge pour réduire sa liste des opérations du 24 juillet 2024. La recourante a ainsi pu contester la décision de première instance en toute connaissance de cause. L’intéressée ne saurait davantage être suivie lorsqu’elle reproche au premier juge de ne pas l’avoir interpellée avant de réduire la liste des opérations du 24 juillet 2024. Conformément à ce qui a été rappelé ci-dessus (cf. supra consid. 3.2.1), en présence d’une note de frais et d’honoraires, le droit d’être entendu garanti par l’art. 29 al. 2 Cst. n’obligeait pas le premier juge à donner à la recourante l’occasion de fournir des explications ultérieures et n’est, sur le principe, pas violé lorsque comme en l’espèce, la note a été réduite sans interpellation complémentaire. De plus, dans une affaire ordinaire de droit de la famille conclue par une convention, la recourante ne démontre nullement quel motif particulier impliquerait, en l’espèce, une dérogation à cette manière de procéder. Mal fondés, les griefs en relation avec le droit d’être entendu doivent être rejetés.</w:t>
      </w:r>
    </w:p>
    <w:p>
      <w:r>
        <w:rPr>
          <w:b/>
        </w:rPr>
        <w:t>E. 3.3.2.1</w:t>
      </w:r>
    </w:p>
    <w:p>
      <w:r>
        <w:t>La recourante soutient que la motivation des retranchements repose en réalité sur des spéculations du premier juge, lequel n’avait pas eu accès à la correspondance entre l’avocate et sa mandante, d’une part, et entre les avocats des parties à la cause en modification de jugement de divorce, d’autre part. Elle qualifie ce procédé de désagréable à la lumière du secret de l’avocat et de la confidentialité des discussions transactionnelles. Pour la recourante et selon son expérience générale, le montant demandé serait conforme aux besoins d’une affaire ayant nécessité des pourparlers transactionnels significatifs pour parvenir à une solution recueillant l’agrément des deux parties. A cet égard, elle relève que les échanges de courriels nécessitent souvent du temps, du fait des réponses du mandant et de la partie adverse, ainsi que du traitement qu’ils demandent. Elle précise que le temps de quinze à vingt minutes visé par un retranchement partiel aurait déjà été comptabilisé de manière très partielle. Pour ce qui est des « examens de courriers » , la recourante indique qu’elle aurait renoncé à les comptabiliser lorsque cela ne se justifiait pas, ce qui était discutable, notamment en ce qui concernait une réquisition de pièce par le président le 6 juin 2024. Elle précise encore qu’elle a fréquemment mentionné la raison pour laquelle elle s’estimait fondée à comptabiliser une prise de connaissance d'un document en relation avec d’éventuelles annexes ou avec la longueur de l’envoi.</w:t>
      </w:r>
    </w:p>
    <w:p>
      <w:r>
        <w:rPr>
          <w:b/>
        </w:rPr>
        <w:t>E. 3.3.2.2</w:t>
      </w:r>
    </w:p>
    <w:p>
      <w:r>
        <w:t>En l’espèce, le premier juge a énuméré avec soin les opérations qu’il a réduites, respectivement supprimées. En ce qui concerne le motif et la durée des réductions effectuées par le premier juge, la recourante perd de vue qu’elle ne peut pas se borner à opposer sa propre version à celle du premier juge, mais doit en démontrer le caractère arbitraire. Or, de jurisprudence constante, le temps consacré à la lecture de courriers ou la rédaction de mémos ou d’avis de transmission n’a pas, sauf circonstances spéciales, à être pris en compte dans la durée des activités (cf. supra consid. 3.2.2.3) et c’est donc sans violer le droit que le premier juge a déduit cinq minutes pour chacune des opérations concernées par cette prise de connaissance. Il ne suffit ainsi pas à la recourante d’affirmer que cette prise de connaissance a duré plus longtemps pour que le moyen soit admis, faute pour celle-ci de démontrer l’excès du pourvoir d’appréciation du premier juge. Or, l’intéressée se borne à indiquer dans son acte de recours une ou deux situations dans lesquelles une prise de connaissance plus longue aurait été nécessaire (cf. p. 6, ch. 8), sans toutefois mentionner d’opérations en particulier, perdant de vue que ce sont trente-neuf opérations différentes de son relevé qui sont concernées par le motif de réduction retenu par le premier juge. Les griefs formulés dans le mémoire de recours demeurent ainsi peu précis et l’on cherche en vain des griefs spécifiques concernant l’une ou l’autre des réductions opérées en référence à la liste des opérations du 24 juillet 2024 . S’agissant en particulier de la réquisition de production de pièces du 6 juin 2024, celle-ci n’a pas été comptabilisée par la recourante elle-même, si bien que c’est en vain qu’elle invoque ce poste. On observe au demeurant que l’intéressée y a réagi par une simple demande de prolongation de délai le 12 juin 2024, opération que le premier juge n’a ni retranchée ni même réduite et qui, retenue par dix minutes, comprend la prise de connaissance de la réquisition de production de pièces du 6 juin 2024 et le bref temps nécessaire pour la rédaction d’un courrier de demande de prolongation de délai sur la base d’un modèle dont dispose tout avocat expérimenté. Quant à l’arrêt de la Chambre des curatelles dont la recourante se prévaut (CCUR 29 juillet 2022/131), celui-ci ne lui est d’aucune aide, dans la mesure où le premier juge dans cette affaire avait non pas réduit, mais purement et simplement supprimé des lettres adressées à la bénéficiaire de l’assistance judiciaire. Or, dans la présente affaire, lorsque le premier juge a supprimé du temps par cinq minutes, notamment pour l’examen des courriels de la bénéficiaire de l’assistance judiciaire, il a retenu le temps consacré par la recourante pour lui répondre le même jour, voire le lendemain ( « lettre à la cliente » ). En outre, contrairement à ce que semble soutenir la recourante, le premier juge n’avait pas à examiner une par une chacune des opérations concernées par le même motif de réduction, compte tenu du type d’activité, soit la prise de connaissance de courriers ou de courriels et de la jurisprudence constante rendue à ce propos (cf. supra consid. 3.2.1).</w:t>
      </w:r>
    </w:p>
    <w:p>
      <w:r>
        <w:rPr>
          <w:b/>
        </w:rPr>
        <w:t>E. 3.3.2.3</w:t>
      </w:r>
    </w:p>
    <w:p>
      <w:r>
        <w:t>S’agissant du montant global retenu par le premier juge, il échappe à toute critique. On rappelle à cet égard que le travail a porté, comme l’indique à juste titre la recourante, sur la recherche d’une solution transactionnelle dans une cause en modification de jugement de divorce qui ne présentait aucune difficulté particulière. Il apparaît de surcroît que le stagiaire de la recourante a rédigé et signé « pour rédaction » la demande en modification de jugement de divorce du 12 juillet 2023 et la requête de mesures provisionnelles du même jour, ce qui représente cinq heures d’opérations. Or, la recourante a annoncé ces opérations au tarif d’avocat breveté de 180 fr. et non de 110 fr. dans sa liste des opérations du 24 juillet 2024, ce qui est à l’avantage de l’intéressée (sur les conditions d’une reformatio in pejus , cf. TF 4A_382/2015 du 4 janvier 2016 consid. 5.1 et 5.2 et la réf. citée ; cf. ég. ATF 149 IV 91 consid. 4.1.4 et les réf. citées, en matière pénale). Aussi , le montant alloué par le premier juge au regard de celui réclamé par la recourante apparaît-il en toute hypothèse comme étant équitable au sens de l’art. 122 al. 1 let. a CPC et de la jurisprudence rappelée ci-dessus.</w:t>
      </w:r>
    </w:p>
    <w:p>
      <w:r>
        <w:rPr>
          <w:b/>
        </w:rPr>
        <w:t>E. 4</w:t>
      </w:r>
    </w:p>
    <w:p>
      <w:r>
        <w:t>En définitive, le recours, manifestement mal fondé, doit être rejeté et le jugement entrepris confirmé. Les frais judiciaires de deuxième instance, arrêtés à 100 fr. (art. 69 al. 1 TFJC [tarif des frais judiciaires en matière civile du 28 septembre 2010 ; BLV 270.11.5]), seront mis à la charge de la recourante, qui succombe (art. 106 al. 1 CPC). Il n’est pas alloué de dépens de deuxième instance, V.________ n’ayant pas été invitée à procéder. Par ces motifs, la Chambre des recours civile du Tribunal cantonal, en application de l’art. 322 al. 1 CPC, prononce : I. Le recours est rejeté. II. Le jugement est confirmé. III. Les frais judiciaires de deuxième instance, arrêtés à 100 fr. (cent francs), sont mis à la charge de la recourante J.________. IV. L’arrêt est exécutoire La présidente :               Le greffier : Du L’arrêt qui précède, dont la rédaction a été approuvée à huis clos, est notifié à : ‑ Me J.________, ‑ Mme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