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707 vom 7. Oktober 2024</w:t>
      </w:r>
    </w:p>
    <w:p>
      <w:r>
        <w:t>VD Tribunal cantonal, 2024-10-07, FR</w:t>
      </w:r>
    </w:p>
    <w:p>
      <w:r>
        <w:rPr>
          <w:b/>
        </w:rPr>
        <w:t xml:space="preserve">Quelle: </w:t>
      </w:r>
      <w:r>
        <w:t>https://mcp.opencaselaw.ch/entscheid/vd_findinfo_HC___2024___707</w:t>
      </w:r>
    </w:p>
    <w:p>
      <w:r>
        <w:t>FR: VD_FINDINFO HC / 2024 / 707 du 7 octobre 2024</w:t>
      </w:r>
    </w:p>
    <w:p>
      <w:r>
        <w:t>IT: VD_FINDINFO HC / 2024 / 707 del 7 ottobre 2024</w:t>
      </w:r>
    </w:p>
    <w:p>
      <w:pPr>
        <w:pStyle w:val="Heading2"/>
      </w:pPr>
      <w:r>
        <w:t>Regeste</w:t>
      </w:r>
    </w:p>
    <w:p>
      <w:r>
        <w:t>RÉSILIATION IMMÉDIATE, JUSTE MOTIF, CONTRAT DE TRAVAIL, CONFIANCE MUTUELLE, RECOURS JOINT, FIDÉLITÉ | 321a al. 1 CO, 337 CO, 337c CO, 308 al. 1 let. a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 La partie adverse peut former un appel joint dans sa réponse, qui doit être déposée dans un délai de trente jours (art. 312 al. 2 et 313 al. 1 CPC). L'appel joint n’est jamais soumis à des exigences quant à la valeur litigieuse (Jeandin, in Bohnet et al. [éd.], Commentaire romand, CPC, Bâle 2019, 2 e éd. [ci-après : CR-CPC], n. 6 ad art. 313 CPC).</w:t>
      </w:r>
    </w:p>
    <w:p>
      <w:r>
        <w:rPr>
          <w:b/>
        </w:rPr>
        <w:t>E. 1.2</w:t>
      </w:r>
    </w:p>
    <w:p>
      <w:r>
        <w:t>Déposé en temps utile, les féries étant applicables (art. 145 al. 1 let. a CPC), par une partie ayant un intérêt digne de protection (art. 59 al. 2 let. a CPC) et portant sur des conclusions dont la valeur litigieuse au dernier état des conclusions est supérieure à 10’000 fr., l'appel est recevable. La réponse l’est également. Concernant les conclusions prises en appel joint, il n’est pas nécessaire d’examiner leur recevabilité compte tenu de ce qui suit (cf. infra consid. 4.4 in fine et consid. 5.2).</w:t>
      </w:r>
    </w:p>
    <w:p>
      <w:r>
        <w:rPr>
          <w:b/>
        </w:rPr>
        <w:t>E. 1.3</w:t>
      </w:r>
    </w:p>
    <w:p>
      <w:r>
        <w:t>Aux termes de l’art. 317 al. 1 CPC,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 En l’espèce, les pièces produites par l’appelant à l’appui de sa réponse et son appel joint sont postérieures à la clôture de l’instruction conduite en première instance. Elles sont dès lors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rPr>
          <w:b/>
        </w:rPr>
        <w:t>E. 2.3</w:t>
      </w:r>
    </w:p>
    <w:p>
      <w:r>
        <w:t>Concernant les faits notoires, ils peuvent être retenus d’office y compris en deuxième instance (TF 4A_261/du 1 er octobre 2013 consid. 4.3 ; TF 4A_412/2011 du 4 mai 2012 consid. 2.2). Dans cette mesure, ils sont soustraits à l’interdiction des nova (TF 5A_719/2018 du 12 avril 2019 consid. 3.2.1).</w:t>
      </w:r>
    </w:p>
    <w:p>
      <w:r>
        <w:rPr>
          <w:b/>
        </w:rPr>
        <w:t>E. 3.1</w:t>
      </w:r>
    </w:p>
    <w:p>
      <w:r>
        <w:t>La société appelante soulève trois griefs concernant une constatation inexacte des faits au sens de l’art. 310 let. b CPC. Dans sa réponse, l’intimée conteste ces griefs en prétendant que la société appelante n’aurait pas prouvé à satisfaction les faits qu’elle allègue pour faire valoir son droit en application de l’art. 8 CC et devrait ainsi supporter le fardeau de la preuve. A titre préliminaire, on relèvera que dans ses déterminations sur appel, l’intimée allègue à nouveau sa propre version des faits (I. Faits principaux, pp. 2 à 12 de la réponse), sans démontrer pour autant en quoi l’état de fait retenu par les premiers juges serait inexact ou inconsistant. La partie de cette écriture reprenant les faits, allégué par allégué, sans aucune motivation, n’est dès lors pas pertinente.</w:t>
      </w:r>
    </w:p>
    <w:p>
      <w:r>
        <w:rPr>
          <w:b/>
        </w:rPr>
        <w:t>E. 3.2.1</w:t>
      </w:r>
    </w:p>
    <w:p>
      <w:r>
        <w:t>Aux termes de l’art. 8 CC, chaque partie doit, si la loi ne prescrit le contraire, prouver les faits qu’elle allègue pour en déduire son droit. Il en résulte que la partie demanderesse doit prouver les faits qui fondent sa prétention, alors que son adversaire doit prouver les faits qui entraînent l’extinction ou la perte du droit ; ainsi, les faits qui empêchent la naissance du droit ou en provoquent l’extinction doivent être prouvés par la partie qui les allègue (ATF 139 III 7 consid. 2.2). Selon la jurisprudence, la règle de l' art.</w:t>
      </w:r>
    </w:p>
    <w:p>
      <w:r>
        <w:rPr>
          <w:b/>
        </w:rPr>
        <w:t>E. 3.2.2</w:t>
      </w:r>
    </w:p>
    <w:p>
      <w:r>
        <w:t>Aux termes de l’art.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 Lorsqu’à l’issue de l’appréciation des preuves, un tribunal arrive à la conclusion qu’une allégation de fait est prouvée ou qu’elle est démentie, la répartition du fardeau de la preuve devient sans objet (ATF 141 III 241 consid. 3.2, JdT 2016 II 235).</w:t>
      </w:r>
    </w:p>
    <w:p>
      <w:r>
        <w:rPr>
          <w:b/>
        </w:rPr>
        <w:t>E. 3.3.1</w:t>
      </w:r>
    </w:p>
    <w:p>
      <w:r>
        <w:t>Premièrement, l’intimée aurait caché à la société appelante la vérité quant à son voyage en République dominicaine, alors qu'elle devait se trouver en quarantaine en Suisse. Elle aurait dissimulé cet élément jusqu'au dépôt de ses écritures du 15 décembre 2021. A tort, selon la société appelante, ces faits n’auraient pas été retenus dans le jugement querellé. On constate que l’intimée n'a mentionné aucun propos à cet égard dans les courriels échangés les 27, 28 et 29 mai 2021, ni démontré qu’elle l’aurait annoncé oralement, par téléphone, ou dans sa requête de conciliation, avant le dépôt de sa demande, comme elle le soutient dans sa réponse à l’appel (cf. p. 16 avant-dernier paragraphe). Ce n’est en effet que par la demande qu’elle a déposée le 15 décembre 2021 auprès du Tribunal des Prud’hommes que la société appelante a eu confirmation du fait que son employée s'était rendue en République dominicaine le 13 mai 2021 plutôt que de rentrer en Suisse (all. 45 et 46 de la demande). Interrogée à l’audience du 14 septembre 2022, l’intimée a confirmé ses écritures et expliqué qu’elle était en République dominicaine jusqu’au 22 mai 2021, éléments retenus dans le jugement querellé. Compte tenu du courrier de la société appelante du 19 mai 2021, qui reprenait les discussions des parties avant le départ en vacances de l’intimée et en rappelait les conditions, soit un congé non payé de dix jours pour effectuer la quarantaine, on comprend que cette quarantaine devait avoir lieu en Suisse, cela d’autant plus que le Mexique était sur la liste des pays annoncés « à risque » selon l’ordonnance Covid-19 mesures dans le domaine du transport international de voyageurs (état au 3 mai 2021) peu avant le départ en vacances de l’intimée. On comprend dès lors de l’échange de ces courriels, lus en relation avec le courrier du 19 mai 2021, que l’intimée était réfractaire à préciser les éléments temporels de son voyage auprès de la société appelante. On déduit ainsi sa volonté de cacher les faits, en particulier son voyage en République dominicaine, jusqu’au dépôt de sa demande. Les griefs soulevés par l’intimée dans sa réponse à l’appel, portant sur le droit au respect de sa sphère privée et l’absence de préjudice subi par la société appelante pour justifier son refus de répondre à ses demandes de précisions, ne sont pas pertinents mais révèlent un manque de collaboration de sa part pour établir les faits, voire un abus de droit. Si le jugement querellé ne retient pas explicitement cette volonté de cacher les dates et lieux du voyage, elle se déduit néanmoins de l’état de fait, puis de la discussion juridique (pp. 24 et 25). D’une part, au 2 e paragraphe en page 24, il est retenu qu’à « cet égard, il est vrai que la demanderesse n’est pas rentrée en Suisse le 15 mai 2021 pour effectuer sa quarantaine pendant son congé non-payé comme cela était convenu avec la défenderesse, mais elle est au contraire repartie dans un autre pays », ces faits étant constitutifs du « non-respect de l’accord par la demanderesse » (2 e § in fine ). D’autre part, au 3 e paragraphe en page 24, il est retenu qu’« elle a refusé de répondre aux demandes de son employeur qui souhaitait avoir copie de ses billets d’avion ainsi que de son dernier test PCR afin de vérifier si elle avait bien effectué sa quarantaine à son retour de vacances ». Les premiers juges ayant considéré l’attitude de l’intimée comme inappropriée, de même que le ton et le contenu de ses propos comme inadéquats, on comprend implicitement des éléments précités retenus dans le jugement que l’intimée avait caché à la société appelante la vérité quant à son voyage en République dominicaine, alors qu'elle devait se trouver en quarantaine en Suisse. Dès lors, même si les faits invoqués par la société appelante peuvent être déduits du jugement querellé, on retiendra que l’intimée a caché à la société appelante la vérité concernant son voyage en République dominicaine alors qu’elle devait se trouver en quarantaine en Suisse, cela jusqu’au dépôt de sa demande, le 15 décembre 2021, devant le Tribunal des Prud’hommes.</w:t>
      </w:r>
    </w:p>
    <w:p>
      <w:r>
        <w:rPr>
          <w:b/>
        </w:rPr>
        <w:t>E. 3.3.2</w:t>
      </w:r>
    </w:p>
    <w:p>
      <w:r>
        <w:t>Deuxièmement, la société appelante revient sur les motifs pour lesquels le congé non payé, du 15 au 24 mai 2021, avait été accordé. Elle soutient que le but unique de ce congé était de permettre à l’intimée d’effectuer une « quarantaine-voyage » obligatoire à son domicile au moment de son retour en Suisse, et non de prolonger les vacances jusqu’au 24 mai 2021. Sur ce point également, si les éléments de fait sont mentionnés dans le jugement, ils ne sont pas retenus de manière synthétique. Or, il ressort effectivement du courrier récapitulatif du 19 mai 2021 que la demanderesse allait épuiser son droit aux vacances avec son voyage prévu du 7 au 14 mai 2021, qu'elle avait demandé à pouvoir faire du télétravail à son retour, soit au moment de sa quarantaine, ce qui lui avait été clairement refusé, et qu'elle avait donc obtenu un congé non payé pour la période de quarantaine. Dans la réponse, l’intimée réfute cette version et prétend que la lettre du 19 mai 2021, alors rédigée unilatéralement par la société appelante après son départ en vacances, serait insuffisante pour démontrer que le congé non payé aurait été octroyé pour effectuer la quarantaine obligatoire. Or, l’intimée se contredit, ayant elle-même reconnu ce fait dans son courriel du 27 mai 2021 en mentionnant « […] du moment où je suis en règle avec les exigences fédérales, raison pour laquelle j’ai par ailleurs accepté de prendre des jours non-payés pour couvrir cette période de quarantaine, […] ». Aussi, elle a déclaré en première instance savoir que le Mexique avait été listé comme pays « à risque » peu de jours avant son départ. Compte tenu de ces affirmations, il est établi que le but du congé non payé était d’effectuer la quarantaine devenue obligatoire à son retour en Suisse. Compte tenu de ce qui précède, le grief de l’intimée soulevé dans sa réponse selon lequel la société appelante aurait admis son allégué 219, soit que le congé non payé aurait été octroyé pour « tenir compte d’une potentielle quarantaine au retour de voyage . » n’est pas exact. Au demeurant, la motivation présentée à l’appui de ce grief n’est pas convaincante. L’intimée se fonde sur les déterminations faites par la société appelante dans sa duplique sur l’allégué 219 de la réplique, exprimées ainsi « 219 Admis (cf. all. 143 à 145) ». Or, en se référant aux allégués 143 à 145 de la réponse, on constate que la société appelante avait allégué que « La Demanderesse ayant épuisé son quota de vacances, la quarantaine ne pouvait donc être effectuée qu’à la faveur d’un congé non-payé, consenti au bon vouloir de l’employeur. » (all. 143), que « Afin d’arranger au mieux sa collaboratrice et de pouvoir accéder à sa demande de partir pour le Mexique, la Défenderesse a consenti à accorder un tel congé non payé à la Demanderesse. » (all. 144) et que « Ce congé était exceptionnel, dans la mesure où la Défenderesse – afin de maintenir la bonne continuité de son activité – n’a pas pour pratique d’en accorder . » (all. 145). Or, dans sa réplique, l’intimée a admis l’allégué 138 de la société appelante, soit que « Le 3 mai 2021, le Mexique a effectivement été inscrit sur la liste des pays dits à risque. », l’Ordonnance Covid-19 mesures dans le domaine du transport international de voyageurs (état au 3 mai 2021) ayant été produite sous pièce 103 à l’appui de cet allégué. Dès lors, en application de l’art. 7 al. 1 let. a et al. 2 de cette ordonnance, l’intimée ne pouvait ignorer que la quarantaine était obligatoire lors d’un retour en Suisse après avoir voyagé au Mexique. Ainsi, en date du 3 mai 2021, soit 4 jours avant son départ, l’intimée savait que la quarantaine envisagée était devenue obligatoire et que le congé non payé prévu du 15 au 24 mai 2021 ne lui avait été accordé qu’à cette fin, la date de son retour au travail étant bien le 25 mai 2021. Contrairement à ce que prétend l’intimée, c’est à juste titre que les premiers juges se sont fondés sur la lettre de K.________ du 19 mai 2021, d’autant plus lue au regard des échanges de courriels postérieurs (cf. supra consid. 3.3.1), pour retenir qu’elle avait violé l’accord conclu avec la société appelante à ce sujet. Dès lors que l’intimée n’est pas parvenue à démontrer le contraire, on retiendra que ce congé n'était pas destiné à lui permettre de prolonger ses vacances, mais bien à limiter tant le risque de contamination à son retour au travail qu'à respecter les obligations Covid. Quant aux conséquences juridiques, elles seront examinées plus bas.</w:t>
      </w:r>
    </w:p>
    <w:p>
      <w:r>
        <w:rPr>
          <w:b/>
        </w:rPr>
        <w:t>E. 3.3.3</w:t>
      </w:r>
    </w:p>
    <w:p>
      <w:r>
        <w:t>Troisièmement, la société appelante développe longuement la problématique de la sortie ou non de l’intimée de la zone de transit international de MexicoCity. Cette sortie aurait un intérêt de fait puisqu’il est retenu dans le jugement querellé que l’intimée n'avait pas violé la quarantaine imposée par l’Ordonnance Covid-19 mesures dans le transport international de voyageurs. En effet, à son retour de Saint-Domingue, pays qui n'était pas classé « à risque » à ce moment-là, contrairement au Mexique, elle n'aurait été considérée que comme passagère en transit à Mexico le 22 mai 2021 et n'aurait pas quitté la zone de transit (cf. pp. 22-23 du jugement), puis aurait pris le vol intérieur pour Cancun, puis aurait embarqué pour Lisbonne et, enfin, pour Genève. En d'autres termes, elle serait partie d'un pays non répertorié comme « à risque » et n'aurait que retransité par le Mexique, pays « à risque », bénéficiant ainsi de la disposition de l'art. 8 al. 1 let. e de l'Ordonnance Covid-19 précitée, traitant des passagers en transit, pouvant séjourner moins de 24 heures sur place. L’intimée aurait donc échappé à la quarantaine au retour d'un pays « à risque ». Les premiers juges ont fondé leur démonstration sur le site d'Aeromexico, en expliquant que la procédure d'enregistrement d'un vol intérieur à Mexico se faisait dans la zone internationale, faute de comptoir pour les vols intérieurs, que le passager devait passer par l'immigration pour une correspondance internationale avec transfert pour une autre destination au Mexique, et que les bagages devaient être retirés et réenregistrés (cf. p. 23 du jugement). Cependant, il ne semble guère utile de faire une analyse détaillée des règles de transit de l'aéroport de Mexico, si ce n'est pour constater que l’intimée a dû passer la douane, comme le démontre le tampon apposé dans son passeport à la date du 22 mai 2021 et qu'elle est effectivement sortie de la zone de transit parce que l'aéroport ne prévoyait pas d'autre possibilité. Savoir ensuite comment les autorités suisses auraient apprécié ce passage, formellement de transit, concrètement d'entrée et de sortie d'un pays « à risque », ne peut pas être tranché en l'état ; cette question aurait relevé de l'appréciation des autorités sanitaires. On ne peut dès lors pas affirmer, comme l’ont fait les premiers juges en se basant sur des éléments fournis par les compagnies aériennes, que l’intimée serait rentrée d'un pays censé être sûr et n’aurait ainsi pas dû effectuer une quarantaine. La réponse à cette question n’est pas limpide et le dossier ne contient aucun autre élément à ce sujet. On relèvera toutefois que, sous l'angle du licenciement litigieux, il n’est pas déterminant d’établir l’obligation d’effectuer ou non une quarantaine (cf. infra consid. 4). Compte tenu de ce qui précède, les explications de l’intimée à ce propos ne sont pas déterminantes. 4. 4.1 Sous l’angle de la violation du droit, la société appelante invoque des manquements graves de l’intimée à l’origine de la rupture du lien de confiance devant exister entre elles. Elle relève de sa part la mauvaise foi, la violation des règles prévoyant la quarantaine en période de Covid, une atteinte à l’intégrité personnelle des autres collaborateurs et une éventuelle infraction pénale. Elle soulève aussi la problématique de la durée du délai de congé prévue contractuellement plus longue que celle prévue légalement. Quant à l’intimée, elle prétend n’avoir commis aucun manquement susceptible de justifier un congé immédiat. Elle aurait été harcelée par la société appelante, son propre comportement ne justifiant pas de congé. 4.2 4.2.1 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La gravité de l’infraction ne saurait cependant entraîner à elle seule l’application de l'art. 337 al. 1 CO ; ce qui est déterminant, c’est que les faits invoqués à l’appui d’une résiliation immédiate aient entraîné la perte du rapport de confiance qui constitue le fondement du contrat de travail (ATF 142 III 579 consid. 4.2 ; ATF 130 III 213 consid. 3.1 ; ATF 127 III 153 consid. 1c ; TF 4A_319/2020 du 5 août 2020 consid. 5). En général, une manifestation de malhonnêteté caractérisée, comme les mensonges ou les détournements, suffit à rompre les rapports de confiance entre les parties (TF 4P.272/2005 du 5 décembre 2005 consid. 6.2 ; Aubert, in Thévenoz/Werro [édit.], Commentaire romand, Code des obligations I, 3 e éd., Bâle 2021, nn. 6-7 ad art. 337 CO). Les infractions que le travailleur perpètre à l’occasion de son travail, telles qu’un vol commis au préjudice de l’employeur, d’autres collaborateurs ou de clients, constituent des motifs classiques de résiliation immédiate (ATF 137 III 303 consid. 2.1.1 ; ATF 130 III 28 consid. 4.2 et 4.3 ; cf. ég. Streiff et al., Arbeitsvertrag – Praxiskommentar zu Art. 319‑362 OR, 7 e éd., Zurich 2012, n. 5 ad art. 337 CO). Il a en outre été jugé que l'injure grave proférée par le travailleur à l'adresse de son employeur, en l'absence de collègues ou de clients, ne justifiait un congé immédiat que si la situation de tension accrue qui s'est manifestée dans l'usage des gros mots en question ne relevait pas d'un comportement non-conforme au contrat ou à la loi de la part de l'employeur lui-même ; en d'autres termes, celui-ci ne doit rien avoir à se reprocher (TF 4C_435/2004 du 2 février 2005 consid. 4.1).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 n. 7 ad art. 337).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loc. cit. ). Pour qu'il y ait de justes motifs permettant un licenciement immédiat, il n'est pas nécessaire que l'employeur ait subi effectivement un préjudice (ATF 124 III 25 consid. 3b ; TF 4A_152/2011 du 6 juin 2011 consid. 2.3.1). 4.2.2 Conformément à l'art. 8 CC, il appartient à celui qui invoque l'existence de justes motifs de prouver les faits qui les fondent (Wyler/Heinzer/Witzig, Droit du travail, 5 e éd. 2024, p. 780 et réf. cit.). Cependant, le juge apprécie librement s’il existe de justes motifs de licenciement immédiat (art. 337 al. 3 CO). Il applique les règles du droit et de l’équité (art. 4 CC). Savoir si le comportement incriminé atteint la gravité nécessaire dépend des circonstances du cas concret (ATF 142 III 579 consid. 4.2 et les références citées). Dans son appréciation, le juge doit notamment tenir compte de la position et de la responsabilité du travailleur, du type et de la durée des rapports contractuels, de la nature et de l’importance des manquements, de même que de son attitude face aux injonctions, avertissements ou menaces formulées par l’employeur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TF 4C.95/2004 du 28 juin 2004 consid. 2). 4.3 4.3.1 Tout d’abord, il s’impose de rappeler la situation sanitaire et la période litigieuse, faits notoires dont la description et l’établissement relèvent de la compétence de la Cour de céans. Au printemps 2021, à cause du variant Delta, le virus Covid préoccupait toujours la population et les employeurs, notamment en raison des quarantaines imposées par les autorités sanitaires. De plus, la première campagne de vaccination, ayant débuté par les personnes âgées et fragiles au début de l'année 2021, n'allait permettre à la population d'accéder au vaccin qu'au cours du printemps 2021. En d'autres termes, il est notoire que la situation sanitaire demeurait tendue. 4.3.2 Malgré ce climat, l’intimée avait souhaité, cela étant établi, se rendre dans un pays considéré comme « à risque » pour ses vacances, avec pour conséquence une quarantaine à son retour. Après avoir en vain tenté d'obtenir d'effectuer cette quarantaine en télétravail, elle avait obtenu de la société appelante de l'exécuter sous forme de congé non payé. A cet égard, les échanges au dossier, en particulier le courrier du 19 mai 2021 et les courriels qui s’ensuivirent, permettent de retenir que la société appelante n'aurait pas accordé de congé non payé si cette quarantaine ne s’était imposée ; cela d'autant plus que l’intimée n'était à son service que depuis le 1 er novembre 2020, soit depuis près de six mois seulement, et avait déjà épuisé son droit aux vacances. Si la société appelante n'avait effectivement pas interdit à l’intimée de voyager dans un pays qualifié « à risque », elle avait néanmoins anticipé et réglé la problématique en convenant avec l’intimée que celle-ci prenne un congé non payé pour effectuer sa quarantaine à son retour, l’intimée n’ayant pas établi le contraire (cf. supra consid. 3.3.2). Le devoir de diligence et de fidélité de l'employé prévu à l’art. 321a CO ne permet certes pas à l'employeur de se mêler du choix des vacances de l’employé et de l'utilisation de son temps libre, comme l'ont rappelé les premiers juges et le plaide l’intimée dans sa réponse à l’appel. Il n'en reste pas moins que ce devoir imposait à l’intimée qui prenait un risque pour sa santé de prendre les précautions exigées par les autorités précisément pour éviter une contamination d'autres personnes, dont les collègues de travail. Or, en ne rentrant pas pour exécuter sa quarantaine, mais en prenant unilatéralement un supplément de vacances, alors même qu'elle avait épuisé son droit à celles-ci, l’intimée a délibérément contourné la précaution requise par la société appelante, soit celle d’effectuer une quarantaine pour laquelle il lui avait accordé expressément un congé non payé. Quant à la contamination de l’intimée par le Covid-19 durant ses vacances, elle n'est pas contestée. Il résulte de l'état de fait qu’un test positif du 27 mai 2021 l’a confirmée, alors qu'elle avait repris le travail deux jours plus tôt. Compte tenu de ce qui précède, l’intimée a non seulement détourné l'accord donné par la société appelante, mais aussi mis en danger ses collègues de travail. Elle a en effet caché son « détour » de voyage, tant à la première qu’aux seconds, qui pouvaient croire de bonne foi qu'elle avait exécuté sa quarantaine lorsqu'elle a repris le travail le 25 mai 2021. Par un tel comportement, l’intimée a manqué d’une manière particulièrement grave à son devoir de diligence et de fidélité à la société appelante. Déjà pour ce motif, le licenciement immédiat était justifié. 4.3.3 Il ressort en outre des courriels échangés entre les parties que l’intimée a invoqué le respect de sa vie privée pour ne pas renseigner la société appelante sur la réalité de son voyage. En refusant d'indiquer qu'elle avait prolongé ses vacances à l'étranger plutôt que d'exécuter une quarantaine en Suisse, comme convenu entre les parties, l’intimée a manqué de transparence et a violé la confiance que la société appelante devait avoir à son égard en sa qualité d’employeur. Ce refus de renseigner était d'autant plus dommageable qu'il ne permettait ni à la société appelante, ni même aux autorités de déterminer la raison de la contamination. Comme mentionné plus haut, il importe peu de savoir si l’intimée devait encore exécuter une quarantaine en ne faisant que transiter par le Mexique. En effet, non seulement elle n’avait aucun droit à bénéficier de vacances supplémentaires, ce qui lui avait été clairement signifié, mais aussi elle devait pendant cette semaine, ce qui était aussi convenu, effectuer une quarantaine en Suisse. A lui seul, le motif de prolonger unilatéralement les vacances n'est qu'un manquement moyennement grave selon la jurisprudence susmentionnée, mais pris dans son ensemble, en période de pandémie, l'attitude de l’intimée pouvait être qualifiée de manquement grave de nature à rompre la relation de confiance. Dès lors, ces motifs scellent le sort de l'appel sans qu'il ne soit nécessaire d'examiner les autres motifs invoqués par l’intimée, en particulier ceux liés à une éventuelle infraction pénale de l’intimée et à la durée contractuelle du délai de congé. 4.3.4 Enfin, ce n’est qu’après le dépôt de la demande du 15 décembre 2021 que la société appelante n'a eu confirmation de ses inquiétudes et doutes liés à l’inexécution par l’intimée de son obligation d’effectuer la quarantaine à son retour. En adoptant un tel comportement, l’intimée a révélé sa mauvaise foi quant à son obligation d’effectuer cette quarantaine. Dès lors, le motif invoqué par la société appelante à l’appui de la résiliation immédiate du contrat de travail de l’intimée était bien exact et effectivement justifié. 4.4 En définitive, il est établi que le congé non payé octroyé à l’intimée était destiné à éviter un problème de quarantaine à son retour de vacances du Mexique, et que la société appelante en craignait les conséquences. Il ressort aussi du dossier, en particulier des courriels échangés en mai 2021, que l’intimée n’a rien dit à la société appelante sur le fait qu’au lieu de rentrer à la date prévue du 14 mai 2021 et rester dix jours en quarantaine à son domicile, elle avait profité de cette période pour se rendre dans un autre pays. Il en est résulté qu’après être rentrée en Suisse le 24 mai 2021 et avoir repris le travail le lendemain, elle a été testée positive au Covid le 27 mai 2021. Enfin, peu importe de savoir où l’intimée a contracté le Covid, il est établi qu’elle n’a pas effectué la quarantaine convenue entre les parties et qu’elle a manqué de transparence sur son congé non payé. L’intimée a ainsi manqué gravement à son devoir de fidélité et de diligence envers la société appelante, de manière à rompre le rapport de confiance existant entre elles. Etant établi qu’il existe un juste motif au sens de l’art. 337 CO, la résiliation immédiate du contrat de travail de l’intimée est donc justifiée. 5. 5.1 Dans son appel joint, l’intimée fait valoir que son arrêt de travail devait prolonger le délai de résiliation, de sorte qu’elle aurait droit à un salaire pour la période du 5 juin au 30 octobre 2021 d’un montant total de 23'656 fr. 90 au sens de l’art. 337c al. 1 CO, puis implicitement d’un montant de 6'343 fr. 10 à titre d’indemnité au sens de l’art. 337c al. 3 CO. En outre, les dépens de première instance alloués en sa faveur à hauteur de 3'000 fr. (soit moins de 8 heures de travail) ne tiendraient pas compte du temps que son conseil aurait effectivement consacré à sa cause, soit une durée équivalant à 14'000 fr. d’honoraires. Selon l’intimée, les premiers juges auraient dû se prononcer sur l’indemnité d’assistance judiciaire de son conseil d’office, dès lors qu’elle était au bénéfice de celle-ci. 5.2 Dès lors que la Cour de céans considère que la résiliation immédiate du contrat de travail de l’intimée est justifiée, cette dernière n’a pas droit à ce qu’elle aurait gagné, si les rapports de travail avaient pris fin à l’échéance du délai de congé au sens de l’art. 337c al. 1 CO, ni à une éventuelle indemnité au sens de l’art. 337c al. 3 CO. Par conséquent, les griefs soulevés dans l’appel joint deviennent sans objet. Quant aux dépens de première instance alloués à l’intimée, il n’y a pas lieu d’examiner si leur montant serait justifié. En effet, au vu de l’issue de l’appel et de l’appel joint, aucun dépens ne doit être alloué à l’intimée à ce titre (cf. infra consid. 6). 5.3 Pour ce qui concerne la fixation de l’indemnité d’assistance judiciaire du conseil d’office de l’intimée en première instance, le Tribunal des Prud’hommes peut rendre une décision séparée sur cet objet en application de l’art. 104 al. 1 CPC. La Cour de céans ne peut qu’inviter l’intimée à s’adresser à cette autorité. Au demeurant, l’intimée n’a pris aucune conclusion formelle tendant à ce qu’une telle indemnité soit fixée par la Cour de céans. 6. Au vu de ce qui précède, l’appel doit être admis et l’appel joint rejeté. Il sera à nouveau statué en ce sens que les conclusions de l’intimée sont rejetées, qu’il n’est pas perçu de frais judiciaires de première instance et que l’intimée doit verser à la société appelante la somme de 3'000 fr. à titre de dépens de première instance (cf. infra consid. 7), toutes autres et plus amples conclusions étant rejetées. 7. 7.1 Aux termes de l’art. 95 al. 1 CPC, les frais comprennent les frais judiciaires (al. 2) et les dépens (al. 2), lesquels sont fixés par les cantons (art. 96 CPC). Conformément à l'art. 106 al. 1 CPC, les frais sont mis à la charge de la partie succombante. La notion de « partie succombante » signifie soit la partie qui perd le procès au sens courant, soit le demandeur dont les prétentions sont rejetées ou écartées, ou le défendeur condamné dans le sens demandé par son adversaire (Tappy, in CR-CPC, n. 12 ad art. 106 CPC). 7.2 Si l’instance d’appel statue à nouveau, elle se prononce sur les frais, judiciaires et dépens (art. 95 al. 1 CPC), de la première instance (art. 318 al. 3 CPC). 7.2.1 Concernant la procédure de première instance, il n’est pas perçu de frais judiciaires en application de l’art. 114 let. c CPC, lequel prévoit la gratuité pour un litige portant sur un contrat de travail, lorsque la valeur litigieuse n’excède pas 30'000 fr. dès lors qu’aucun élément au dossier ne justifie d’obliger l’une des parties à supporter de tels frais au motif qu’elle aurait procédé de façon téméraire ou de mauvaise foi au sens de l’art. 115 CPC. Concernant les dépens de première instance, on constate qu’à l’issue du présent arrêt, la société appelante obtient gain de cause sur toutes ses conclusions et que l’intimée perd entièrement sur ses conclusions pécuniaires en paiement d’un salaire et d’une indemnité pour licenciement immédiat sans justes motifs. L’intimée étant la partie qui succombe, elle supportera la charge de dépens. Compte tenu de la nature et de la complexité de la cause, il se justifie d’arrêter de pleins dépens à 3'000 fr. pour chaque partie (art. 3 et 5 TDC [tarif des dépens en matière civile du 23 novembre 2010 ; BLV 270.11.6]), de sorte que l’intimée versera la somme de 3'000 fr. à la société appelante à titre de dépens de première instance. 7.2.2 La société appelante obtient entièrement gain de cause sur ses conclusions prises en procédure d’appel. S’agissant d’un litige portant sur un contrat de travail dont la valeur litigieuse n’excède pas 30'000 fr. et l’art. 115 CPC n’étant pas applicable, l’arrêt sera également rendu sans frais judiciaires de deuxième instance (art. 114 let. c CPC ; CACI 6 octobre 2023/403 consid. 6.3). Pour ce qui concerne les dépens de deuxième instance, de pleins dépens seront estimés à 2'000 fr. pour chacune des parties (art. 3 al. 2, 7 al. 1 et 20 al. 2 TDC), compte tenu de la nature et de la complexité de la cause. Au vu de l’issue de l’appel et de l’appel joint, l’intimée versera à la société appelante la somme de 2'000 fr. à titre de dépens de deuxième instance. 7.3 7.3.1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sur l’assistance judiciaire en matière civile du 7 décembre 2010 ; BLV 211.02.3]). 7.3.2 Me Yannis Sakkas, conseil d’office de l’intimée, a agi en cette qualité devant le Tribunal des Prud’hommes du 12 octobre 2021 au 6 mars 2023. Dès lors qu’il a effectué ces opérations dans le cadre de la procédure de première instance, leur rémunération ne relève pas de la compétence de la Cour de céans. Dès lors, celle-ci n’en tiendra pas compte. L’intimée n’ayant bénéficié de l’assistance judiciaire en deuxième instance qu’à partir du 15 janvier 2024, seules les opérations effectuées par son conseil d’office dès cette date peuvent être rémunérées. Ainsi, les opérations indiquées aux mois d’avril et mai 2023 pour une durée globale de 149 minutes ne seront pas prises en considération (- 2h39), cela d’autant plus que le conseil d’office n'explique pas les motifs pour lesquels elles devraient l’être. Seront ainsi prises en considération les opérations indiquées dès le mois de janvier 2024, celles du 8 janvier 2024 également, dès lors qu’elles correspondent à la communication de l’acte d’appel à l’intimée, en sa qualité d’intimée invitée à déposer une réponse, voire un appel joint. Cependant, les opérations mentionnées à hauteur de 10 minutes chacune, telles que le courriel du 8 janvier 2024 adressé à l’intimée le même jour que celui de réception du courrier du Tribunal cantonal par le conseil d’office l’invitant à déposer une réponse, un des deux courriels du 14 février 2024 adressés à l’intimée le même jour que celui auquel le conseil d’office a adressé les écritures de réponse et d’appel joint au Tribunal cantonal et le courriel du 22 février 2024 adressé à l’intimée au lendemain du jour auquel les pièces pour compléter la demande d’assistance judiciaire ont été adressées au Juge délégué de céans, ne seront pas retenues (-30min). En effet, ces courriels correspondent à des envois de transmission qui ne contenaient aucune indication particulière et s’apparentaient dès lors à de simples envois de transmission relevant d’un travail de secrétariat qui fait partie des frais généraux de l’avocat couverts par le tarif horaire applicable ( CACI du 15 août 2024/367 consid. 8.4.2 ; CREC 15 août 2022/188 ; CACI 6 septembre 2021/430 consid. 5.4 et réf. cit.). Quant aux opérations indiquées comme courriels à l’intimée à hauteur de 10 minutes chacune également les 18 janvier 2024, 13, 15, 19, 22 et 28 février 2024, elles ne paraissent pas avoir toutes nécessité un travail de fond de la part de l’avocat nécessaire au suivi du dossier, dès lors que les écritures avaient été déposées le 14 février 2024. Dès lors, ces opérations totalisant une durée globale de 50 minutes ne seront pas retenues (-50min). En outre, il n’y a pas lieu de retenir le temps consacré pour le courrier adressé au Tribunal des Prud’hommes, dès lors que cette opération concerne l’autorité de première instance (-15min). Enfin, Me Sakkas a mentionné un montant d’honoraires de 2'000 fr. pour la rédaction de la réponse et appel joint, en précisant uniquement que ce montant avait été calculé au tarif horaire de 180 francs. Le temps qui résulte de sa base de calcul (2'000 fr. / 180 fr.), soit plus de 11 heures consacrées à la rédaction des écritures, paraît excessif. En effet, ayant déjà assisté l’intimée en première instance, Me Sakkas connaissait déjà bien le dossier, de sorte que quelque 9h30 destinées à cette fin paraissaient raisonnables. Aussi, afin de tenir compte de l’étude du dossier effectuée le 5 mars 2024, il se justifie, au vu de la nature du litige et de sa complexité, de retenir</w:t>
      </w:r>
    </w:p>
    <w:p>
      <w:r>
        <w:rPr>
          <w:b/>
        </w:rPr>
        <w:t>E. 8</w:t>
      </w:r>
    </w:p>
    <w:p>
      <w:r>
        <w:t>CC s'applique en principe aussi lorsque la preuve porte sur des faits négatifs (TF 5A_879/2023 du 29 mai 2024 consid. 3.1.2.1 et réf. cit.). Cette exigence est toutefois tempérée par les règles de la bonne foi ( art. 2 CC et 52 CPC) qui obligent le défendeur à coopérer à la procédure probatoire, notamment en offrant la preuve du contraire, soit la contre-preuve (ATF 119 II 305 consid. 1b/aa). Pour que la contre-preuve soit couronnée de succès, il suffit qu'elle affaiblisse la preuve principale ; il n'est pas nécessaire de convaincre le juge que la contre-preuve est concluante (ATF 120 II 393 consid. 4b). L'obligation faite à la partie adverse de collaborer à l'administration de la preuve, même si elle découle du principe général de la bonne foi, est de nature procédurale et ne relève pas de l' 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(TF 5A_879/2023 du 29 mai 2024 consid. 3.1.2.1 et réf. cit. ; TF 5A_503/2018 du 25 septembre 2018 consid. 3 et réf. cit.).</w:t>
      </w:r>
    </w:p>
    <w:p>
      <w:r>
        <w:rPr>
          <w:b/>
        </w:rPr>
        <w:t>E. 10</w:t>
      </w:r>
    </w:p>
    <w:p>
      <w:r>
        <w:t>heures consacrées à ce dossier. Il s’ensuit qu’au tarif horaire de 180 fr., l’indemnité de Me Yannis Sakkas doit être arrêtée à 1'984 fr. 70, soit 1'800 fr. (10h x 180 fr.), 36 fr. de débours (2 % de 1'800 fr. ; art. 2bis al. 1 RAJ) et 148 fr. 70 de TVA (8,1 % de 1’836 fr.). 7.3.3 La bénéficiaire de l’assistance judiciaire est tenue au remboursement de l’indemnité due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