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698 vom 1. Januar 2021</w:t>
      </w:r>
    </w:p>
    <w:p>
      <w:r>
        <w:t>VD Tribunal cantonal, 2021-01-01, FR</w:t>
      </w:r>
    </w:p>
    <w:p>
      <w:r>
        <w:rPr>
          <w:b/>
        </w:rPr>
        <w:t xml:space="preserve">Quelle: </w:t>
      </w:r>
      <w:r>
        <w:t>https://mcp.opencaselaw.ch/entscheid/vd_findinfo_HC___2024___698</w:t>
      </w:r>
    </w:p>
    <w:p>
      <w:r>
        <w:t>FR: VD_FINDINFO HC / 2024 / 698 du 1 janvier 2021</w:t>
      </w:r>
    </w:p>
    <w:p>
      <w:r>
        <w:t>IT: VD_FINDINFO HC / 2024 / 698 del 1 gennaio 2021</w:t>
      </w:r>
    </w:p>
    <w:p>
      <w:pPr>
        <w:pStyle w:val="Heading2"/>
      </w:pPr>
      <w:r>
        <w:t>Regeste</w:t>
      </w:r>
    </w:p>
    <w:p>
      <w:r>
        <w:t>DROIT DE DÉTERMINER LE LIEU DE RÉSIDENCE, GARDE DE FAIT, EXPERTISE PSYCHIATRIQUE, DROIT D'ÊTRE ENTENDU, DOMICILE, ASSISTANCE JUDICIAIRE, REJET DE LA DEMANDE, MESURE PROVISIONNELLE, ENFANT | 310 al. 1 CC, 29 al. 2 Cst., 117 CPC (CH), 296 al. 1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de même que pour le dépôt de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contre une ordonnance de mesures provisionnelles par une partie disposant d’un intérêt digne de protection (art. 59 al. 2 let. a CPC) dans une cause non patrimoniale, l’appel est recevable. Déposées en temps utile et dans les formes prescrites, la réponse de l’intimée, de même que les déterminations de l’appelant, sont également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5A_647/2021 du 19 novembre 2021 consid. 4.2.1 et les réf. citées).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Par ailleurs, l’art. 296 al. 3 CPC prévoit que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w:t>
      </w:r>
    </w:p>
    <w:p>
      <w:r>
        <w:rPr>
          <w:b/>
        </w:rPr>
        <w:t>E. 3</w:t>
      </w:r>
    </w:p>
    <w:p>
      <w:r>
        <w:t>Sous le titre troisième de son appel, « D’un "storytelling" éloigné des faits », l’appelant commence par s’en prendre à l’appréciation de l’intimée, relayée selon lui « à divers titres par les intervenants à la procédure et l’autorité judiciaire ». L’exposé qu’il fait est confus et l’on ne discerne guère quels faits sont contestés. A comprendre l’appelant, il s’agirait plutôt de l’appréciation générale du cas par la présidente, ou alors de celle des collaborateurs de la DGEJ. De manière générale, il semble affirmer que le fait que les enfants iraient mal serait entièrement la faute de l’intimée, subsidiairement de certains intervenants du SUPEA et de la DGEJ, et non de la sienne. C’est ainsi qu’il faudrait « s’écarter du narratif de rigidité attribuée à l’appelant, repris de manière mécanique par les intervenants aux différents stades de la procédure, mais ne correspondant pas à un examen distancié des faits » (appel, pp. 7-8). On relèvera que l’appelant reproche notamment à l’intimée de conclure, dans la procédure au fond, à l’attribution exclusive de la garde de fait et de l’autorité parentale sur les enfants, alors que lui-même aurait conclu à titre principal à une garde partagée, subsidiairement à la garde exclusive. L’affirmation est surprenante, puisque tant dans sa réponse du 29 mars 2019 que dans sa duplique du 25 octobre 2019, l’appelant a précisément conclu à l’attribution exclusive de l’autorité parentale (Il) et de la garde de fait (III) de ses deux enfants. Par ailleurs, l’appelant reproche à l’intimée de ne pas avoir voulu poursuivre une médiation. A ce sujet, l’appelant ne se réfère à aucune pièce du dossier et cela n’est, en tout état, pas pertinent en l’espèce, au vu de l’ordonnance entreprise et des conclusions de l’appelant. L’appelant expose ensuite avoir vainement alerté les thérapeutes du SUPEA et de la DGEJ au sujet des maltraitances que les enfants ont subi au foyer. Il est exact que R.________ et S.________ ont apparemment subi des agressions de la part d’autres enfants. Mais l’intéressé affirme sans l’ombre d’un indice qu’il a vainement alerté les intervenants, et que ce ne serait qu’après des mois que ceux-ci auraient « fini par concéder le traumatisme [...], attitude diamétralement opposée à celle affichée jusqu’alors, consistant paradoxalement à [lui] reprocher de ne pas agir dans l’intérêt des enfants et d’être responsable de leur situation ». Il se réfère à cet égard au rapport de la DGEJ du 22 septembre 2021, dont il fait une lecture particulière. Dans son rapport, la DGEJ estimait que le discours de R.________ et S.________ restait en effet collé à celui de leur père. R.________ avait accepté en début d’année de dire bonjour et au revoir à sa mère et de lui présenter son agenda, car, sans observateur et sans risque au niveau de ses loyautés, il pouvait être dans les prémisses d’une relation avec elle. S.________, dont les contacts avec l’intimée étaient préservés, adoptait toutefois en présence de son père ou de son frère des propos critiques à l’égard de sa mère, ce qui était significatif des loyautés dans lesquelles il était pris. D’après la DGEJ, les enfants avaient fugué plusieurs fois et l’appelant avait précédemment prédit ces fugues devant eux en s’adressant aux éducateurs, lors d’au revoir chaotiques entre le père et les enfants, au cours desquels il s’était montré non-collaborant avec les éducateurs. Toujours selon le même rapport, l’appelant continuait d’attribuer les raisons du placement à l’intimée, incapable d’entendre que les enfants étaient pris dans un conflit de loyauté et de se remettre en question. Il continuait notamment à tenir des propos disqualifiants sur l’intimée et sur le foyer. L’inertie de la situation était principalement due à lui, qui n’entamait aucun travail de fond sur sa coparentalité et ne pouvait se remettre en question. Ses discréditations de l’intimée, régulières et durables, n’autorisaient pas les enfants à investir leur mère. Ainsi, aucun élément de ce rapport ne va dans le sens des allégations formulées par l’appelant. Il ne ressort pas de ce bilan que les intervenants auraient adopté une attitude « diamétralement opposée » à leur attitude précédente, qui rendrait l’appelant responsable de la situation des enfants. La DGEJ se limite au contraire à relater les faits qu’elle constate ainsi qu’à livrer son appréciation au sujet de la situation familiale. Dans cette mesure, elle ne peut que restituer le conflit de loyauté dans lequel se trouvent les enfants, notamment dû au comportement de l’appelant. Le fait que la DGEJ relève l’attitude rigide adoptée par l’appelant et son incapacité à revenir sur ses agissements ne saurait remettre en cause son impartialité. Le grief, pour autant que recevable, doit ainsi être rejeté.</w:t>
      </w:r>
    </w:p>
    <w:p>
      <w:r>
        <w:rPr>
          <w:b/>
        </w:rPr>
        <w:t>E. 4.1</w:t>
      </w:r>
    </w:p>
    <w:p>
      <w:r>
        <w:t>L’appelant reproche à la présidente de ne pas avoir retiré à la DGEJ le droit de déterminer le lieu de résidence de ses enfants R.________ et S.________.</w:t>
      </w:r>
    </w:p>
    <w:p>
      <w:r>
        <w:rPr>
          <w:b/>
        </w:rPr>
        <w:t>E. 4.2</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5A_911/2023 du 27 février 2024 consid. 4.1.1 et les réf. citées ; TF 5A_164/2022 du 16 août 2022 consid. 3 les réf. citées). Le retrait du droit de déterminer le lieu de résidence doit être levé lorsque le milieu familial évolue favorablement (art. 313 al. 1 CC ; CCUR 13 août 2024/173 ; Juge unique CACI 10 novembre 2023/455).</w:t>
      </w:r>
    </w:p>
    <w:p>
      <w:r>
        <w:rPr>
          <w:b/>
        </w:rPr>
        <w:t>E. 4.3</w:t>
      </w:r>
    </w:p>
    <w:p>
      <w:r>
        <w:t>Dans ses moyens proprement dits, l’appelant fait valoir que le DGEJ a, pour la troisième fois, requis d’être relevée de son mandat de placement et que, dès lors, le refus de la présidente reviendrait à « remettre en cause son mandat législatif, voire à lui faire un procès d’incompétence » (appel, p. 10). Selon lui, la situation actuelle serait d’ailleurs paradoxale, puisque les enfants ne sont pas placés dans un foyer ou une famille d’accueil depuis novembre 2021. Il expose en outre que la DGEJ dispose de moyens suffisants par des curatelles d’assistance et de surveillance. De tels moyens ne consistent qu’en l’affirmation que l’ordonnance querellée est mal fondée. Or, l’appelant ne peut se limiter à se livrer à des critiques toutes générales de la décision attaquée (cf. TF 4A_318/2023 du 14 juillet 2023 consid. 2.3). Dans cette mesure, la motivation de son grief apparaît déjà douteuse. En tout état, aux fins de trancher la question du sort des enfants, le juge peut s'écarter des conclusions d’un rapport sur la situation familiale établi par des services de protection de l'enfance ou de la jeunesse à des conditions moins strictes que celles applicables lorsqu'il s'agit d'une expertise judiciaire (cf. TF 5A_888/2023 du 5 mars 2024 consid. 3.1.2 et la réf. citée). Ainsi, la présidente n’était pas tenue de suivre les propositions de la DGEJ, ce qui suffit à écarter de tels reproches. Par ailleurs, l’appelant formule des allégations contradictoires. En effet, dans le même acte, il impute aux intervenants, notamment de la DGEJ, un « narratif de rigidité attribuée à l’appelant, repris de manière mécanique par les intervenants aux différents stades de la procédure » (appel, pp. 7 et 8) mais il reproche également à la présidente de faire un « procès d’incompétence » à la DGEJ (appel, p. 10), de sorte qu’il est difficile d’identifier les réels griefs de l’appelant.</w:t>
      </w:r>
    </w:p>
    <w:p>
      <w:r>
        <w:rPr>
          <w:b/>
        </w:rPr>
        <w:t>E. 4.4</w:t>
      </w:r>
    </w:p>
    <w:p>
      <w:r>
        <w:t>De manière plus spécifique, l’appelant soutient que le mandat de la DGEJ n’a apporté aucun effet positif et qu’imaginer une dégradation de la situation serait une « hypothèse gratuite ». La situation actuelle ne permettrait plus d’évolution, et serait en somme satisfaisante – cela sous réserve du fait qu’il faudrait « poursuivre une réflexion de fond, en collaboration avec la thérapeute et la DGEJ, sur l’évolution de la garde alternée » sur S.________ (appel, p. 16). Selon l’appelant, le placement des enfants aurait eu un effet délétère sur R.________ et S.________ et ce seraient les mesures prises – à le comprendre, à l’instigation de l’intimée – qui auraient eu un effet préjudiciable. Il serait donc purement artificiel de maintenir le mandat de garde de la DGEJ. Il expose en outre que le juge unique, dans son arrêt du 10 mars 2022, a considéré que le placement des enfants par la DGEJ auprès des parents eux-mêmes ne se justifiait qu’au stade des mesures provisionnelles (consid. 3.3.5) et que la II e Cour de droit civil du Tribunal fédéral a confirmé le caractère admissible de la solution retenu du fait de son caractère provisoire (arrêt du 27 septembre 2022, consid. 3.4.2.1). Or, dès lors que deux ans se sont écoulés, la situation ne pourrait plus être qualifiée de provisoire et il ne s’agirait plus d’une phase d’observation. La décision de la présidente violerait donc le principe de proportionnalité. Il convient tout d’abord de relever que l’appelant fait une lecture erronée de l’arrêt cantonal en question (consid. 3.3.5), qui – en rejetant l’appel exercé alors par l’appelant et en confirmant la décision de l’autorité de première instance – a relevé que cette solution se justifiait d’autant plus que l’on se trouvait au stade des mesures provisionnelles, supposé être une phase d’observation. De même, l’appelant erre lorsqu’il affirme que, dans son arrêt du 27 septembre 2022, le Tribunal fédéral aurait confirmé le caractère admissible de la solution retenue du fait de son caractère provisoire. En réalité, dans le passage cité par l’appelant, le Tribunal fédéral a confirmé la solution cantonale « non seulement du fait de son caractère provisoire, mais également en raison des circonstances très particulières qui entourent le contexte familial et que [l’appelant] ne discute pas » (consid. 3.4.2.1). Dans l’arrêt précité du 10 mars 2022, confirmé par le Tribunal fédéral le 27 septembre 2022, le juge unique avait considéré qu’il n’y avait pas de contradiction, contrairement à ce qu’affirmait l’appelant, à confier provisoirement le droit de déterminer le lieu de résidence et la garde de fait d’un enfant à la DGEJ et de confirmer le placement provisoire auprès d’un parent (arrêt du 10 mars 2022, consid. 3.3.3 et les réf. citées). Dans le cas d’espèce, le fait que le père conservait des compétences parentales sur le plan matériel (logement, habillement, nourriture des enfants) pouvait justifier qu’on lui délègue la prise en charge des enfants au quotidien, mais ne suffisait pas à lui attribuer le droit de déterminer le lieu de résidence de l’enfant. Ses compétences étaient limitées et il ne paraissait pas adéquat de lui confier la responsabilité éducative de ses enfants. Si la garde devait lui être confiée, il était vraisemblable qu’il s’ensuivrait un éloignement définitif de R.________ et une rupture de lien entre S.________ et sa mère. L’appelant ne réalisait pas que ses discours disqualifiant sur l’intimée plaçaient les enfants dans un conflit de loyauté important et son attitude était loin de favoriser les contacts mère-enfant, autre critère nécessaire pour obtenir la garde (consid. 3.3.2 et 3.3.3). S’agissant de la situation familiale, il est exact qu’elle n’a guère évolué, sinon qu’elle semble s’être encore un peu péjorée et que la DGEJ a préavisé pour un retrait de son mandat de garde. Mais on ne saurait en aucun cas suivre l’appelant lorsqu’il laisse entendre que la situation actuelle est satisfaisante et devrait nécessairement perdurer. Il ressort en effet clairement des différents rapports de la DGEJ et du SUPEA que la situation actuelle, loin d’être satisfaisante, est des plus inquiétantes. La DGEJ, dans son rapport du 29 septembre 2022, expose que les enfants sont pris dans un conflit de loyauté massif. Il existe des mises en danger d’ordre psychique de ceux-ci et le pronostic est défavorable. Les entretiens préconisés par l’ordonnance de mesures provisionnelles rendue le 2 novembre 2021 par la présidente, entre l’intimée et l’enfant R.________ – qui refuse de voir sa mère – n’ont pas lieu. L’enfant inquiète les thérapeutes car il reste figé. Le SUPEA a, pour sa part, décidé de renoncer à introduire des séances père-fils afin de réduire l’exposition des enfants à des messages paradoxaux de leur père. S.________ – manifestement en raison d’un conflit de loyauté manifeste – n’a pas le même discours en fonction du lieu d’échange avec lui. Chez sa mère, il indique être satisfait de la garde alternée en place et évoque des souvenirs positifs avec sa mère. Chez son père, il indique vouloir vivre chez ce dernier et se plaint de la prise en charge de sa mère. Cela est très inquiétant. Le rapport du 7 novembre 2023 n’est pas moins alarmant. La DGEJ y explique qu’étant dans l’impossibilité de travailler avec l’appelant, le SUPEA a relevé que la thérapie familiale n’avait plus de sens. Le suivi familial a pris fin en mai 2023. Les écrits adressés à l’intimée par l’appelant restent nombreux, longs et munis de reproches. Toujours selon la DGEJ, l’appelant a en outre tenu les enfants au courant de l’audience de première instance, manifestement en leur laissant entendre qu’ils risquaient d’être placés à l’issue de celle-ci. La DGEJ s’en est tenue aux constatations posées dans son rapport du 29 septembre 2022 quant à la mise en danger des enfants en raison du conflit de loyauté massif, qui engendrait un pronostic défavorable. On ne peut que constater que la situation des enfants est malsaine et toxique, et il n’y a aucune raison de penser que cela serait dû à l’action de la DGEJ, comme le prétend l’appelant. Tout indique au contraire que le père porte la plus grande part de responsabilité dans cette situation. Dans son rapport du 22 septembre 2021, la DGEJ estimait que l’inertie de la situation était principalement due à ce dernier, qui continuait à attribuer exclusivement les raisons du placement à l’intimée, à l’égard de laquelle il tenait des propos disqualifiants devant les enfants (pp. 3-4). Il n’effectuait aucun travail sur sa coparentalité et n’arrivait pas à se remettre en question. R.________ et S.________ n’étaient pas autorisés par lui à investir leur mère en raison des discréditations régulières et durables auxquelles il se livrait. R.________ avait choisi son camp, ce qui le disposait dans un rôle clair, alors que S.________ parvenait encore à conserver des contacts avec les deux parents (p. 4). Les constatations du rapport du 23 septembre 2023 sont analogues. Du rapport du 7 novembre 2023, il ressort encore que le SUPEA a constaté qu’il était dans l’impossibilité de travailler avec l’appelant. Dans ces conditions, il ne saurait être question de suivre l’appelant et de valider et de pérenniser la situation actuelle, en confiant la garde de R.________ à l’appelant et en ordonnant la garde partagée de S.________. Il est exact que c’est ce qu’a recommandé la DGEJ. Mais on ne saurait adhérer au point de vue de l’appelant, qui estime apparemment que la situation est satisfaisante – sous réserve de la garde de S.________, dont il laisse entendre qu’il la demandera plus tard et indique dans l’immédiat qu’elle devrait être aménagée « en s’écartant de tout schématisme » (appel, p. 16), c’est-à-dire modifiée. Et on ne saurait davantage rejoindre la DGEJ, qui apparaît avoir préavisé par découragement, n’arrivant pas à faire façon de l’appelant. Il est en effet tout à fait paradoxal de constater que la situation est mauvaise, voire très inquiétante et que le pronostic est défavorable, pour conclure à une réduction des mesures en place. Les motifs de l’arrêt du 10 mars 2022 demeurent d’actualité. Il est exact que le placement des enfants a abouti à un échec. Si l’on suit le rapport du 22 septembre 2021, il n’est pas exclu que l’appelant, qui, devant les enfants, attribuait la responsabilité de ce placement à l’intimée, et qui prédisait devant eux leurs fugues futures, y soit étranger. Quoi qu’il en soit de cette dernière question, l’appel doit être rejeté sur la question du droit de déterminer le lieu de résidence et la garde de fait sur les enfants. La mesure, au vu de la situation, apparaît minimale, et conforme tant au principe de proportionnalité qu’au principe de précaution, ce dernier commandant de prendre toutes les mesures nécessaires pour assurer le bon développement des enfants mineurs, dont les intérêts supérieurs l’emportent sur ceux des parents.</w:t>
      </w:r>
    </w:p>
    <w:p>
      <w:r>
        <w:rPr>
          <w:b/>
        </w:rPr>
        <w:t>E. 5.1</w:t>
      </w:r>
    </w:p>
    <w:p>
      <w:r>
        <w:t>L’appelant s’oppose également à la mise en œuvre d’une expertise psychiatrique.</w:t>
      </w:r>
    </w:p>
    <w:p>
      <w:r>
        <w:rPr>
          <w:b/>
        </w:rPr>
        <w:t>E. 5.1.2</w:t>
      </w:r>
    </w:p>
    <w:p>
      <w:r>
        <w:t>; TF 5A_647/2021 précité consid. 4.2.2).</w:t>
      </w:r>
    </w:p>
    <w:p>
      <w:r>
        <w:rPr>
          <w:b/>
        </w:rPr>
        <w:t>E. 5.2</w:t>
      </w:r>
    </w:p>
    <w:p>
      <w:r>
        <w:t>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précité consid. 4.2.1 et les réf. citées ; ATF 128 III 411 précité consid. 3.2.1). Il n’est cependant pas lié par les offres de preuve des parties ; il décide, selon sa conviction, quels faits doivent encore être établis et quels sont les moyens de preuve pertinents pour démontrer ces faits (TF 5A_654/2022 du 21 décembre 2023 consid. 5.1.2 ; TF 5A_647/2021 précité consid. 4.2.1). Sauf exceptions qui ne sont pas réalisées dans le cas présent (cf. à ce sujet : Hohl, Procédure civile, tome I, 2 e éd. 2016, n° 1791 p. 295 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(art. 4 CC ; TF 5A_654/2022 précité consid.</w:t>
      </w:r>
    </w:p>
    <w:p>
      <w:r>
        <w:rPr>
          <w:b/>
        </w:rPr>
        <w:t>E. 5.3</w:t>
      </w:r>
    </w:p>
    <w:p>
      <w:r>
        <w:t>La présidente a ordonné une telle expertise sur la personne de chacune des parties, avec pour mission de poser, le cas échéant, un diagnostic pour chacun des parents, de définir leur mode de fonctionnement psychologique, de déterminer leurs capacités parentales et d’indiquer si des mesures thérapeutiques individuelles sont préconisées. Elle a considéré que l’incapacité des parents, en particulier de l’appelant, à gérer leur conflit parental, au détriment du bien des enfants, ainsi que la rigidité de l’appelant, son refus de collaborer avec les professionnels et son extrême difficulté à différencier les besoins de ses fils des siens soulevaient des questions sur le fonctionnement psychologique du couple parental. Une expertise permettrait aux thérapeutes de la famille de comprendre les mécanismes sous-tendant le fonctionnement de chacun des parents, et une telle mesure était d’autant plus nécessaire que des mises en danger d’ordre psychique des enfants étaient relevées. L’appelant fait valoir que cette expertise serait inopportune, en tant qu’elle ferait double emploi avec celle qui a déjà été confiée à l’UFaM. Selon lui, cette expertise aurait clairement écarté toute maltraitance de sa part résultant en une aliénation parentale et aurait laissée ouverte l’hypothèse de violences subies par les enfants de la part de la mère. Enfin, le suivi familial a pris fin au SUPEA en mai 2023, et les parents se seraient mis d’accord, selon le rapport de la DGEJ du 7 novembre 2023, pour déposer une demande à « Amphypsy » ( recte : Amphipsy), qui serait un lieu davantage neutre et qui amènerait peut-être moins de résistance (rapport précité, p. 19). Il serait donc pour le moins prématuré de mettre en œuvre l’expertise ordonnée. L’UFaM a rendu son rapport le 5 novembre 2020 ainsi qu’un rapport de complément d’expertise le 5 juillet 2021. Il est exact que les experts n’ont, alors, pas retenu un syndrome d’aliénation parentale imputable à l’appelant. Ils ont toutefois notamment indiqué que les difficultés relevées quant aux compétences parentales de l’appelant étaient à comprendre comme une fragilité dans son rôle de père, qu’il convenait d’accompagner sur le plan thérapeutique car elles pourraient s’avérer délétères à l’avenir pour l’évolution favorable des enfants. On peut relever au passage que le Dr. [...] avait précédemment exposé, dans un rapport de situation du 29 août 2019, que les enfants se trouvaient dans un rapport de loyauté sans failles par rapport à leur père, qui ne rendait leur audition que partiellement utile et expliquait leurs plaintes par rapport à la mère (cf. arrêt du 17 avril 2020, p. 8). Entendu par la présidente à une audience de mesures provisionnelles du 25 juin 2020, il avait exposé que les enfants étaient pris dans un conflit de loyauté, sans exclure une aliénation parentale. Quoi qu’il en soit, comme l’expose l’appelant lui-même, il s’agissait alors d’examiner de quels actes de maltraitance les enfants auraient été victimes de chacun de leurs deux parents. Plus précisément, les parties s’étaient accordées, lors de l’audience de première plaidoiries du 30 janvier 2020, à confier l’expertise pédopsychiatrique à l’UFam avec pour mission « d’examiner les compétences parentales de chacun des parents, de se prononcer sur l’autorité parentale, la garde et les modalités de doit aux relations personnelles, de proposer toutes mesures de protection utiles pour protéger les enfants et de déterminer si ces derniers sont ou ont été soumis à des maltraitances psychologiques ou physiques de la part de l’un ou l’autre parent ». Or, l’objet de l’expertise ordonnée en l’espèce est tout autre. Comme l’a exposé la présidente, il s’agit, compte tenu de l’incapacité des parents de gérer leur conflit parental et des mises en danger d’ordre psychique des enfants, relevées par la DGEJ, de comprendre les mécanismes psychologiques sous-tendant le fonctionnement de chacun d’eux. Au vu de la situation, cette expertise, recommandée par le SUPEA (cf. rapport rendu le 7 novembre 2023 par la DGEJ), est parfaitement adéquate, et sera utile pour déterminer d’autres mesures ou l’adaptation des mesures en cours.</w:t>
      </w:r>
    </w:p>
    <w:p>
      <w:r>
        <w:rPr>
          <w:b/>
        </w:rPr>
        <w:t>E. 5.4</w:t>
      </w:r>
    </w:p>
    <w:p>
      <w:r>
        <w:t>A titre subsidiaire, l’appelant conclut à ce que l’expertise soit confiée non pas au Dr. L.________ mais à l’UFaM. Toutefois, il n’y a aucune raison de faire droit à cette conclusion dès lors que l’appelant souligne qu’il ne conteste en rien les compétences du Dr. L.________. Il fait seulement valoir que l’UFaM connaîtrait déjà la situation de la famille, et qu’une telle solution serait moins coûteuse. Une fois de plus, le but de l’expertise est autre que celui qui a été mené par l’UFaM. Il s’agit d’une expertise psychiatrique portant sur deux personnalités et non sur le fonctionnement d’une famille, qui est le domaine de l’UFaM. Il n’est pas exclu qu’un regard neuf soit nécessaire. Et il n’est nullement démontré qu’une expertise réalisée par l’UFaM reviendrait moins cher.</w:t>
      </w:r>
    </w:p>
    <w:p>
      <w:r>
        <w:rPr>
          <w:b/>
        </w:rPr>
        <w:t>E. 5.5</w:t>
      </w:r>
    </w:p>
    <w:p>
      <w:r>
        <w:t>Enfin, l’appelant demande que l’expertise soit étendue, l’expert étant également chargé, selon les conclusions de l’appelant, à examiner quelle est la capacité de travail de l’intimée et dans quelle mesure elle est compatible avec la prise en charge des enfants. Il faudrait donc, selon les conclusions prises, examiner quelle est la capacité de travail de l’intimée et dans quelle mesure elle est compatible avec la prise en charge des enfants. Cette conclusion n’est pour ainsi dire pas motivée, si ce n’est que l’expertise « devrait intégrer une analyse de cette contradiction préoccupante », ce qui est insuffisant. L’appelant se contente d’exposer qu’au cours de la procédure, son épouse a produit deux certificats d’incapacité de longue durée « alors que son métier consiste précisément à s’occuper d’enfants du même âge que les siens ». La conclusion, en tant qu’elle vise à établir l’incapacité de l’intimée à s’occuper de ses enfants, sort d’ailleurs totalement du cadre de la décision attaquée. On remarquera que l’appelant avait précédemment contesté l’incapacité de travail de l’intimée et requis une expertise à ce sujet dans un appel déposé le 9 décembre 2019. Cette conclusion a été rejeté par arrêt du 17 avril 2020. En d’autres termes, l’appelant, chaque fois en requérant une expertise, a contesté cette incapacité de travail et s’en prévaut à présent pour contester les capacités éducatives de sa partie adverse. Le moyen de l’appelant s’avère infondé, voire téméraire.</w:t>
      </w:r>
    </w:p>
    <w:p>
      <w:r>
        <w:rPr>
          <w:b/>
        </w:rPr>
        <w:t>E. 6.1.1</w:t>
      </w:r>
    </w:p>
    <w:p>
      <w:r>
        <w:t>Faisant valoir une violation de son droit d’être entendu, l’appelant fait grief à la présidente de ne pas avoir statué sur sa conclusion tendant à ce que le domicile de S.________ soit fixé chez lui et non plus chez l’intimée.</w:t>
      </w:r>
    </w:p>
    <w:p>
      <w:r>
        <w:rPr>
          <w:b/>
        </w:rPr>
        <w:t>E. 6.1.2</w:t>
      </w:r>
    </w:p>
    <w:p>
      <w:r>
        <w:t>Le droit d’être entendu consacré à l’art. 29 al. 2 Cst. féd. (Constitution fédérale de la Confédération suisse du 18 avril 1999 ; RS 101) et repris, pour la procédure civile, à l’art. 53 al. 1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FamPra.ch 2017 577 ; ATF 134 I 83 consid. 4.1; TF 4A_442/2022 du 16 juin 2023 consid. 4.1). La motivation peut pour le reste être implicite et résulter des différents considérants de la décision (ATF 141 V 557 consid. 3.2.1 et la réf. citée ; sur le tout : TF 4A_524/2023 du 1 er juillet 2024 consid. 4.1).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5A_322/2022 du 5 octobre 2023 consid. 3.1.1).</w:t>
      </w:r>
    </w:p>
    <w:p>
      <w:r>
        <w:rPr>
          <w:b/>
        </w:rPr>
        <w:t>E. 6.1.3</w:t>
      </w:r>
    </w:p>
    <w:p>
      <w:r>
        <w:t>Il est exact, comme l’allègue l’appelant, que l’ordonnance mentionne la conclusion de l’appelant tendant à la fixation du domicile de S.________ soit fixé chez lui. Si la présidente a rejeté « toutes autres ou plus amples conclusions » (dispositif, ch. V), l’ordonnance est muette sur la question d’un éventuel changement du domicile de l’enfant. En principe, l’absence de motivation équivaut à une violation du droit d’être entendu qui justifie l’annulation de la décision. Comme on l’a vu, il est des cas toutefois dans lesquels une telle annulation conduirait à un détour procédural inutile, comme c’est le cas en l’espèce. En l’espèce, il ne se justifie pas d’annuler l’ordonnance sur ce point pour deux raisons. Tout d’abord, l’appelant conclut à titre principal à ce que l’ordonnance soit réformée en ce sens que le domicile de l’enfant S.________ est fixé chez lui. Il ne demande pas à titre principal l’annulation, mais que l’on statue sur la question. Ensuite, cette question revêt une importance très secondaire, voire anecdotique, au vu des particularités du cas. Le droit de déterminer le lieu de résidence de l’enfant est en effet confiée à la DGEJ. Toute correspondance officielle sera adressée à cette dernière. L’enfant est placé alternativement chez le père et la mère, et ce point n’est pas contesté. Dans ces conditions, savoir si le domicile légal de l’enfant est chez le père ou la mère n’a que peu d’importance. Le juge unique de céans, qui bénéficie d’un plein pouvoir d’examen, peut ainsi statuer sur cette question.</w:t>
      </w:r>
    </w:p>
    <w:p>
      <w:r>
        <w:rPr>
          <w:b/>
        </w:rPr>
        <w:t>E. 6.2.1</w:t>
      </w:r>
    </w:p>
    <w:p>
      <w:r>
        <w:t>Lorsque, comme en l’occurrence, une garde alternée est attribuée aux parents, le domicile de l’enfant se trouve au lieu de résidence avec lequel les liens sont les plus étroits.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(ATF 144 V 299 consid. 5.3, FamPra.ch 2018 p. 1091 ; TF 5A_257/2023 et 5A_278/2023 du 4 décembre 2023 consid. 4.2 ; TF 5A_210/2021 du 7 septembre 2021 consid. 4.2).</w:t>
      </w:r>
    </w:p>
    <w:p>
      <w:r>
        <w:rPr>
          <w:b/>
        </w:rPr>
        <w:t>E. 6.2.2</w:t>
      </w:r>
    </w:p>
    <w:p>
      <w:r>
        <w:t>L’appelant fait valoir que S.________, conformément à son souhait, se trouverait majoritairement chez son père et également auprès de son frère. Il soutient en outre que l’enfant résiderait un mercredi après-midi par semaine de plus chez lui. L’appelant ne démontre toutefois en aucune manière que le centre des intérêts de S.________ serait à son domicile. Il n’évoque pas, par exemple, le lieu de scolarisation de l’enfant, les endroits où il pratiquerait ses activités sportives ou encore l’emplacement de son cercle d’amis. Le fait que S.________ passe ou non une demi-journée supplémentaire auprès de l’appelant n’y change rien, le centre de vie ne devant pas nécessairement être déterminé en fonction de l’endroit où l’enfant est le plus présent. Par ailleurs, l’appelant ne démontre aucunement qu’un changement de domicile serait dans l’intérêt de l’enfant. Dans ces conditions, cette dernière conclusion doit également être rejetée.</w:t>
      </w:r>
    </w:p>
    <w:p>
      <w:r>
        <w:rPr>
          <w:b/>
        </w:rPr>
        <w:t>E. 7.1</w:t>
      </w:r>
    </w:p>
    <w:p>
      <w:r>
        <w:t>Enfin, l’appelant requiert le bénéfice de l’assistance judiciaire pour la procédure d’appel.</w:t>
      </w:r>
    </w:p>
    <w:p>
      <w:r>
        <w:rPr>
          <w:b/>
        </w:rPr>
        <w:t>E. 7.2</w:t>
      </w:r>
    </w:p>
    <w:p>
      <w:r>
        <w:t>En vertu de l’art. 117 CPC – qui concrétise les principes que le Tribunal fédéral a dégagés de l’art. 29 al. 3 Cst. féd. (ATF 144 III 531 consid. 4.1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et les réf.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SJ 2009 I 517 ; TF 5A_836/2023 du 10 janvier 2024 consid. 3.2.1 ; TF 5A_287/2023 du 5 juillet 2023 consid. 3.1).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 rendue dans d’autres procédures (ATF 149 III 67 consid. 11.4.2, RSPC 2023 p. 162 ; TF 5A_836/2023 précité consid. 3.2.1 ; TF 5A_287/2023 précité consid. 6).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ATF 139 III 396 consid. 1.2 ; sur le tout : TF 5A_49/2024 du 10 juillet 2024 consid. 3.2).</w:t>
      </w:r>
    </w:p>
    <w:p>
      <w:r>
        <w:rPr>
          <w:b/>
        </w:rPr>
        <w:t>E. 7.3</w:t>
      </w:r>
    </w:p>
    <w:p>
      <w:r>
        <w:t>A l’appui de cette requête, l’appelant expose qu’il bénéficiait de I’assistance judiciaire en première instance et que l’appel n’était en tous cas pas dépourvu de chances de succès, puisque la présidente n’a pas suivi le préavis de la DGEJ. Contrairement à ce que soutient l’appelant, la juridiction d’appel n’est pas liée dans l’évaluation de l’indigence par la décision de première instance, de sorte que le premier raisonnement de l’appelant ne porte pas. Au demeurant, selon les pièces qu’il produit à l’appui de sa requête d’assistance judiciaire, l’appelant travaille à 70 % et réalise, depuis le 1 er janvier 2024, un salaire net, allocations familiales déduites et treizième salaire inclus, de 6'850 fr. 50 ([6'923 fr. 55 – 600 fr.] x 13 / 12 mois), ce qui représenterait presque 10'000 fr. s’il travaillait à plein temps. Il a dès lors la possibilité d’assumer les honoraires d’un appel – qui sont inférieurs à ceux d’une procédure de première instance – sans porter atteinte au minimum nécessaire à son entretien et à celui de sa famille. Aussi et surtout, le second argument de l’appelant est sans valeur. On pourrait tout aussi bien dénier la pertinence de l’appel puisqu’il ne suit pas les conclusions de l’autorité de première instance. Celle-ci a clairement exposé pourquoi elle n’avait pas suivi le préavis de la DGEJ, en se fondant précisément notamment sur les rapports de celle-ci mentionnés plus haut (cf. consid. 4.4 supra ). Comme on l’a vu, il aurait été tout à fait paradoxal d’exposer que la situation et le pronostic étaient mauvais – notamment en raison de l’incapacité totale du père de se remettre en question, de se différencier par rapport à ses enfants ou de différencier ses enfants entre eux – et de préconiser de remettre la garde sur un enfant à l’appelant et sur l’autre aux parents. La nécessité d’une expertise psychiatrique des parties est, quant à elle, évidente. Après près de dix ans de procédure et d’innombrables décisions provisionnelles ainsi que la mise en œuvre de très nombreux intervenants, la situation reste tout aussi délétère, et le pronostic est mauvais. L’appel était voué à l’échec et l’assistance judiciaire sera refusée.</w:t>
      </w:r>
    </w:p>
    <w:p>
      <w:r>
        <w:rPr>
          <w:b/>
        </w:rPr>
        <w:t>E. 8.1</w:t>
      </w:r>
    </w:p>
    <w:p>
      <w:r>
        <w:t>En définitive, l’appel, manifestement mal fondé, doit être rejeté en application de l’art. 312 al. 1 in fine CPC et l’ordonnance confirmée.</w:t>
      </w:r>
    </w:p>
    <w:p>
      <w:r>
        <w:rPr>
          <w:b/>
        </w:rPr>
        <w:t>E. 8.2</w:t>
      </w:r>
    </w:p>
    <w:p>
      <w:r>
        <w:t>Les frais judiciaires de deuxième instance, arrêtés à 800 fr., soit 600 fr. d’émolument de décision (art. 65 al. 2 TFJC [tarif des frais judiciaires civils du 28 septembre 2010 ; BLV 270.11.5]) et 200 fr. pour la décision d’effet suspensif (art. 7 et 60 TFJC), doivent être mis à la charge de l’appelant, qui succombe (art. 106 al. 1 CPC). Il n’y a pas lieu d’allouer des dépens de deuxième instance, l’intimée n’ayant pas été invitée à procéder. Par ces motifs, le Juge unique de la Cour d’appel civile prononce : I. L’appel est rejeté. II. L’ordonnance est confirmée. III. La requête d’assistance judiciaire de deuxième instance est rejetée. IV. Les frais judiciaires de deuxième instance, arrêtés à 800 fr. (huit cents francs), sont mis à la charge de l’appelant B.________. V. L’arrêt est exécutoire. Le juge unique :               La greffière : Du Le présent arrêt, dont la rédaction a été approuvée à huis clos, est notifié à : ‑ Me François Chanson (pour B.________), ‑ Me Irène Wettstein Martin (pour E.________),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