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689 vom 5. September 2024</w:t>
      </w:r>
    </w:p>
    <w:p>
      <w:r>
        <w:t>VD Tribunal cantonal, 2024-09-05, FR</w:t>
      </w:r>
    </w:p>
    <w:p>
      <w:r>
        <w:rPr>
          <w:b/>
        </w:rPr>
        <w:t xml:space="preserve">Quelle: </w:t>
      </w:r>
      <w:r>
        <w:t>https://mcp.opencaselaw.ch/entscheid/vd_findinfo_HC___2024___689</w:t>
      </w:r>
    </w:p>
    <w:p>
      <w:r>
        <w:t>FR: VD_FINDINFO HC / 2024 / 689 du 5 septembre 2024</w:t>
      </w:r>
    </w:p>
    <w:p>
      <w:r>
        <w:t>IT: VD_FINDINFO HC / 2024 / 689 del 5 settembre 2024</w:t>
      </w:r>
    </w:p>
    <w:p>
      <w:pPr>
        <w:pStyle w:val="Heading2"/>
      </w:pPr>
      <w:r>
        <w:t>Regeste</w:t>
      </w:r>
    </w:p>
    <w:p>
      <w:r>
        <w:t>DROIT DE GARDE, EFFET SUSPENSIF, ADMISSION DE LA DEMANDE, MESURE PROVISIONNELLE, DOMMAGE IRRÉPARABLE | 315 al. 4 let. b CPC (CH), 315 al. 5 CPC (CH)</w:t>
      </w:r>
    </w:p>
    <w:p>
      <w:pPr>
        <w:pStyle w:val="Heading2"/>
      </w:pPr>
      <w:r>
        <w:t>Erwägungen</w:t>
      </w:r>
    </w:p>
    <w:p>
      <w:r>
        <w:rPr>
          <w:b/>
        </w:rPr>
        <w:t>E. 5</w:t>
      </w:r>
    </w:p>
    <w:p>
      <w:r>
        <w:t>Par acte du 2 septembre 2024, accompagné d’un bordereau de dix pièces, B.________ a interjeté appel contre cette ordonnance, en concluant, avec suite de frais et dépens, à sa réforme en ce sens que la limitation provisoire de son autorité parentale sur ses enfants pour tout ce qui concerne leur santé est levée, le requérant et l’intimée étant à nouveau tous deux détenteurs de l’autorité parentale conjointe (I), que – principalement – la requête de mesures provisionnelles déposée par l’intimée le 15 juin 2023 est rejetée ou – subsidiairement – la garde des parties sur les enfants s’exerce de façon alternée à raison de deux semaines consécutives chez chacune des parties, du dimanche soir à 18h00 au dimanche deux semaines plus tard à 18h00, selon calendrier produit sous pièce 116 (II), que les chiffres III à VII et XII sont supprimés, que les frais judiciaires de la procédure provisionnelles, arrêtés à 400 fr., sont mis à la charge de l’intimée, mais pour l’instant laissés à la charge de l’Etat (VIII), que celle-ci, bénéficiant de l’assistance judiciaire, est tenue au remboursement des frais judiciaires mis provisoirement à la charge de l’Etat, dès qu’elle sera en mesure de le faire (art. 123 CPC) (IX), et que les chiffres X et XI demeurent inchangés. Plus subsidiairement, il a conclu à l’annulation de l’ordonnance querellée et au renvoi de la cause à la première juge pour nouvelle décision dans le sens des considérants. Préliminairement, il a notamment sollicité que l’effet suspensif soit accordé à son appel. Par déterminations du 4 septembre 2024, l’intimée a conclu au rejet de la requête d’effet suspensif.</w:t>
      </w:r>
    </w:p>
    <w:p>
      <w:r>
        <w:rPr>
          <w:b/>
        </w:rPr>
        <w:t>E. 6.1.1</w:t>
      </w:r>
    </w:p>
    <w:p>
      <w:r>
        <w:t>A titre liminaire, il est relevé qu'il ne ressort pas explicitement des conclusions de l’appel pour quel(s) chiffre(s) du dispositif de l’ordonnance litigieuse le requérant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w:t>
      </w:r>
    </w:p>
    <w:p>
      <w:r>
        <w:rPr>
          <w:b/>
        </w:rPr>
        <w:t>E. 6.1.2</w:t>
      </w:r>
    </w:p>
    <w:p>
      <w:r>
        <w:t>En l’occurrence, à l’appui de sa requête (cf. partie « IV. RESTITUTION DE L’EFFET SUSPENSIF » de l’appel, p. 14), le requérant fait valoir qu’il est préférable de maintenir le système de garde alternée actuellement en place afin d’éviter des changements trop fréquents et que transférer la garde exclusive des enfants à l’intimée viderait de sa substance la procédure d’appel. Il estime que le fait de lui retirer la garde risquerait de lui causer un préjudice difficilement réparable. Il ajoute que la première juge a attendu une année avant de rendre sa décision et qu’aucune source de mise en danger n’a été invoquée par l’intimée, ni portée à la connaissance de la présidente par la DGEJ, ce qui démontrerait que le système de garde alternée ne porte aucunement préjudice à l’intérêt des enfants et que ce système peut donc perdurer durant la procédure d’appel. Ainsi, le requérant motive la restitution de l’effet suspensif uniquement en relation la garde des enfants.</w:t>
      </w:r>
    </w:p>
    <w:p>
      <w:r>
        <w:rPr>
          <w:b/>
        </w:rPr>
        <w:t>E. 6.2</w:t>
      </w:r>
    </w:p>
    <w:p>
      <w:r>
        <w:t>Pour sa part, l’intimée fait valoir que la DGEJ avait déjà relevé, dans le cadre de la procédure d’enquête en limitation de l’autorité parentale en 2022, les graves dysfonctionnements de la situation et préconisé l’instauration d’une garde exclusive à l’intimée. Dans sa demande du 15 juin 2023, elle avait aussi allégué le mal-être des enfants. L’intimée invoque qu’en outre, il ressortirait du rapport d’expertise du 6 juillet 2023 que ses compétences parentales ne font l’objet d’aucun doute, là où celles du requérant sont qualifiées de fragiles. Selon cette expertise, le requérant émettrait en présence des enfants des reproches et revendications à l’égard de l’intimée – alléguant l’existence d’une aliénation parentale –, ainsi que des critiques à l’encontre de son fils en sa présence. L’intimée relève que les experts estimeraient que le requérant semble maintenir ses enfants au cœur du conflit et se questionneraient sur la capacité de l’intéressé à considérer les besoins de ses enfants et à réfléchir sur son propre comportement. Les experts auraient considéré que le conflit conjugal impacte la coparentalité et que les symptômes constatés chez les enfants sont probablement issus d’une même origine, savoir celle du conflit conjugal, précisant que ces difficultés comportementales et émotionnelles les interpellent, sont inquiétantes et semblent souligner le mal-être des deux enfants. Par ailleurs, la DGEJ aurait rappelé sa position tendant au transfert de la garde exclusive à la mère, cela dans son rapport du 21 juillet 2023 ainsi qu’à l’audience du 23 novembre 2023. Les enfants auraient, chacun à leur façon, exprimé un besoin de changement lors de leur audition le 20 septembre 2023. Selon l’intimée, ceux-ci étaient, en outre, dans l’attente de l’ordonnance querellée depuis « des mois, voire des années », et le temps de rédaction de dite décision ne saurait être un argument pour soutenir que l’on pourrait attendre davantage. Elle précise encore que les enfants ont été informés du changement de garde, qui aurait déjà été mis en place, et que la psychologue d’I.________ aurait par ailleurs pu préparer cela avec elle ; un retour en arrière serait incompréhensible pour les enfants. En conclusion de ce qui précède, l’intimée estime que la garde alternée ne fonctionne pas et qu’elle est même extrêmement délétère, de sorte qu’il serait impératif d’y mettre un terme dès à présent. L’admission d’un effet suspensif n’aurait d’autre effet que de répondre aux besoins du requérant, au détriment de ses enfants.</w:t>
      </w:r>
    </w:p>
    <w:p>
      <w:r>
        <w:rPr>
          <w:b/>
        </w:rPr>
        <w:t>E. 7.1.1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w:t>
      </w:r>
    </w:p>
    <w:p>
      <w:r>
        <w:rPr>
          <w:b/>
        </w:rPr>
        <w:t>E. 7.1.2</w:t>
      </w:r>
    </w:p>
    <w:p>
      <w:r>
        <w:t>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Bezugsperson ),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144 III 469 consid. 4.2.1 ; ATF 138 III 565 consid. 4.3.2, JdT 2015 II 408 ; TF 5A_223/2022 du 29 août 2022 consid. 3.1.1 ; TF 5A_941/2018 du 23 janvier 2019 consid. 5.3.2 ; TF 5A_549/2016 du 18 octobre 2016 consid. 3.2). A l’inverse, lorsque la décision confère la garde au parent qui s'occupait principalement de l'enfant juste avant les évènements qui ont donné lieu à la procédure de mesures provisoires ou protectrices, l'effet suspensif doit en principe être refusé à l'appel de l'autre parent, sauf justes motifs, notamment si l'exécution de la décision de première instance met immédiatement en danger le bien de l'enfant ou apparaît manifestement insoutenable (ATF 138 III 565 consid. 4.3.2, JdT 2015 II 408 ; TF 5A_648/2014 du 3 octobre 2014 consid. 3.2.2 ; TF 5A_475/2013 du 11 septembre 2013 consid. 3.2.2).</w:t>
      </w:r>
    </w:p>
    <w:p>
      <w:r>
        <w:rPr>
          <w:b/>
        </w:rPr>
        <w:t>E. 7.2</w:t>
      </w:r>
    </w:p>
    <w:p>
      <w:r>
        <w:t>En l’espèce, en application de la convention des parties ratifiée par la Cour d’appel civile dans son arrêt du 29 juillet 2021, il est constant que les parties exercent une garde alternée sur leurs enfants, système qui perdure depuis plusieurs années. Elles sont ainsi toutes deux leurs parents de référence. On précisera que le fait que le nouveau système de garde exclusive ait potentiellement déjà été mis en place, ainsi que l’allègue l’intimée – sans toutefois en préciser la date –, ne change rien à ce qui précède. En effet, outre que cette modification a été effectuée postérieurement à l’ordonnance litigieuse, cette dernière a été rendue le 20 août 2024, de sorte que le changement de garde peut être intervenu au plus tôt il y a deux semaines. Cette durée ne permet en aucun cas de considérer que la garde exclusive serait instaurée et stabilisée dans l’esprit des enfants et aurait ainsi supplanté le régime de garde alternée et la figure de parents de référence des deux parties. Il apparaît, dès lors, que l’ordonnance litigieuse, en accordant la garde exclusive à l’intimée, modifie par conséquent de manière radicale la prise en charge usuelle des enfants. Le bien de ces derniers commande d’accorder l’effet suspensif compte tenu de la jurisprudence applicable en la matière et faute d’existence d’une situation d’extrême rigueur qui imposerait de procéder différemment. A cet égard, les difficultés rencontrées par les parents lors du transfert des enfants, de même que les éléments allégués par l’intimée, ne sauraient être considérés comme suffisants pour justifier un transfert immédiat de la garde de enfants, étant rappelé que le système de prise en charge alternée fonctionne depuis plusieurs années. En particulier, ainsi que cela ressort des déterminations de l’intimée, il apparaît que la situation est conflictuelle au détriment des enfants depuis des années, l’intimée rapportant de « graves dysfonctionnements » évoqués en 2022. Si la situation paraît certes problématique, rien ne permet de déceler une mise en péril des intérêts des enfants justifiant un transfert de garde en urgence et sans pouvoir attendre l’issue de la présente procédure d’appel. Le contraire ne ressort au demeurant pas des extraits des rapports de professionnels cités par l’intimée. On relèvera, en outre, que les bonnes capacités parentales de l’intimée, alléguées par cette dernière, n’ont aucune incidence au stade du présent effet suspensif. Partant, le maintien du statu quo le temps de la procédure d’appel justifie d’admettre la requête d’effet suspensif s’agissant de la garde des enfants et – par conséquent – des relations personnelles du requérant telles qu’instaurées par la présidente, à savoir concernant les ch. II et III du dispositif litigieux.</w:t>
      </w:r>
    </w:p>
    <w:p>
      <w:r>
        <w:rPr>
          <w:b/>
        </w:rPr>
        <w:t>E. 7.3</w:t>
      </w:r>
    </w:p>
    <w:p>
      <w:r>
        <w:t>En outre, dès lors que la première juge a revu les contributions d’entretien en faveur des enfants compte tenu de l’attribution de la garde exclusive à l’intimée (cf. ordonnance litigieuse, p. 13) et que cette attribution est suspendue par la présente ordonnance, il se justifie également de suspendre l’exécution de ces nouvelles contributions d’entretien – à savoir des ch. IV à VII du dispositif entrepris –, les pensions antérieures déterminées pour le système de garde alternée devant en effet perdurer le temps de la procédure d’appel. A toutes fins utiles, il est précisé que, même s’il devait être considéré, à l’aune de la motivation de la requête de restitution de l’effet suspensif contenue dans l’appel, que le requérant n’a pas conclu à la suspension de l’exécution des nouvelles contributions d’entretien, il conviendrait néanmoins de la prononcer, en application de la maxime d’office applicable aux procédures concernant des enfants (cf. art. 296 al. 3 CPC), dans la mesure où le bien des enfants J.________ et I.________ commande que les contributions versées en leur faveur correspondent au système de garde en place.</w:t>
      </w:r>
    </w:p>
    <w:p>
      <w:r>
        <w:rPr>
          <w:b/>
        </w:rPr>
        <w:t>E. 8</w:t>
      </w:r>
    </w:p>
    <w:p>
      <w:r>
        <w:t>En définitive, la requête d’effet suspensif doit être admise, en ce sens que l’exécution des chiffres II à VII du dispositif de l’ordonnance entreprise est suspendue jusqu’à droit connu sur l’appel. Il sera statué sur les frais judiciaires et les dépens dans le cadre de l’arrêt sur appel à intervenir (cf. art. 104 al. 3 CPC). Par ces motifs, la Juge unique de la Cour d’appel civile, prononce : I. La requête d’effet suspensif est admise. II. L’exécution des chiffres II à VII du dispositif de l’ordonnance de mesures provisionnelles rendue le 20 août 2024 par la Présidente du Tribunal civil de l’arrondissement de Lausanne est suspendue jusqu’à droit connu sur l’appel. III. Il sera statué sur les frais judiciaires et les dépens de la présente ordonnance dans le cadre de l’arrêt sur appel à intervenir. La juge unique :               Le greffier : Du La présente ordonnance, dont la rédaction a été approuvée à huis clos, est notifiée à : ‑ Me Audrey Gohl (pour B.________), ‑ Me Antoine Golano (pour L.________), et communiquée, par l'envoi de photocopies, à : ‑ Mme la Présidente du Tribunal civil de l’arrondissement de Lausanne. ‑ Direction générale de l’enfance et de la jeunesse.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