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687 vom 9. September 2024</w:t>
      </w:r>
    </w:p>
    <w:p>
      <w:r>
        <w:t>VD Tribunal cantonal, 2024-09-09, FR</w:t>
      </w:r>
    </w:p>
    <w:p>
      <w:r>
        <w:rPr>
          <w:b/>
        </w:rPr>
        <w:t xml:space="preserve">Quelle: </w:t>
      </w:r>
      <w:r>
        <w:t>https://mcp.opencaselaw.ch/entscheid/vd_findinfo_HC___2024___687</w:t>
      </w:r>
    </w:p>
    <w:p>
      <w:r>
        <w:t>FR: VD_FINDINFO HC / 2024 / 687 du 9 septembre 2024</w:t>
      </w:r>
    </w:p>
    <w:p>
      <w:r>
        <w:t>IT: VD_FINDINFO HC / 2024 / 687 del 9 settembre 2024</w:t>
      </w:r>
    </w:p>
    <w:p>
      <w:pPr>
        <w:pStyle w:val="Heading2"/>
      </w:pPr>
      <w:r>
        <w:t>Regeste</w:t>
      </w:r>
    </w:p>
    <w:p>
      <w:r>
        <w:t>DÉCISION D'IRRECEVABILITÉ, FORMALISME EXCESSIF, PRINCIPE DE LA BONNE FOI | 29 al. 1 Cst., 202 CPC (CH), 209 CPC (CH), 221 CPC (CH)</w:t>
      </w:r>
    </w:p>
    <w:p>
      <w:pPr>
        <w:pStyle w:val="Heading2"/>
      </w:pPr>
      <w:r>
        <w:t>Erwägungen</w:t>
      </w:r>
    </w:p>
    <w:p>
      <w:r>
        <w:rPr>
          <w:b/>
        </w:rPr>
        <w:t>E. 1.1.1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L’appel doit être introduit dans les trente jours à compter de la notification de la décision motivée ou de la notification postérieure de la motivation (art. 311 al. 1 CPC).</w:t>
      </w:r>
    </w:p>
    <w:p>
      <w:r>
        <w:rPr>
          <w:b/>
        </w:rPr>
        <w:t>E. 1.1.2</w:t>
      </w:r>
    </w:p>
    <w:p>
      <w:r>
        <w:t>Pour être recevable, l’appel doit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w:t>
      </w:r>
    </w:p>
    <w:p>
      <w:r>
        <w:rPr>
          <w:b/>
        </w:rPr>
        <w:t>E. 1.1.3</w:t>
      </w:r>
    </w:p>
    <w:p>
      <w:r>
        <w:t>Une décision est finale au sens de l’art. 236 CPC lorsqu’elle met fin au procès (au sens procédural), que ce soit par une décision d’irrecevabilité – pour un motif de procédure – ou par une décision au fond – pour un motif tiré du droit matériel (ATF 134 Ill 426 consid. 1.1 ; TF 4A_545/2014 du 10 avril 2015 consid. 2.1 ; Hohl, Procédure civile, tome I, 2 e éd., Berne 2016, n. 2245 p. 374). Une décision est en revanche incidente, au sens de l'art. 237 al. 1 CPC, lorsque l’instance de recours pourrait prendre une décision contraire qui mettrait fin au procès et permettrait de réaliser une économie de temps ou de frais appréciable (TF 4A_545/2014 précité consid. 2.1 ; Jeandin, Commentaire romand, Code de procédure civile, 2 e éd., Bâle 2019 [cité ci-après : CR-CPC], n. 9 ad art. 308 CPC ; Hohl, op. cit., n. 2248 p. 374). Tel est par exemple le cas d’une décision rendue en début de procès en application des art. 125 et 222 al. 3 CPC et rejetant une éventuelle irrecevabilité pour un motif de procédure selon l’art. 59 CPC, ou un moyen libératoire préjudiciel de fond comme la prescription, l’absence de responsabilité ou de faute dans une action en dommage-intérêts (Tappy, CR-CPC, n. 3 ad art. 237 CPC).</w:t>
      </w:r>
    </w:p>
    <w:p>
      <w:r>
        <w:rPr>
          <w:b/>
        </w:rPr>
        <w:t>E. 1.1.4</w:t>
      </w:r>
    </w:p>
    <w:p>
      <w:r>
        <w:t>L'appel (art. 308 ss CPC)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et les réf. cit.). Cependant, si le tribunal de première instance a rendu une décision d'irrecevabilité, l'appel ne peut tendre qu'à l'annulation de celle-ci et au renvoi de la cause au premier juge. Les conclusions sur le fond supposent donc que l'autorité précédente soit entrée en matière et ait rendu un jugement au fond (Sachurteil). En revanche, de telles conclusions ne sont pas recevables si la décision attaquée est un jugement de procédure (Prozessurteil), le juge ayant refusé d'entrer en matière parce que les conditions de recevabilité ne sont pas remplies (ATF 138 III 46 consid. 1.2 ; TF 4A_207/2019 du 17 août 2020 consid. 3.2, non publié à l'ATF 146 III 413).</w:t>
      </w:r>
    </w:p>
    <w:p>
      <w:r>
        <w:rPr>
          <w:b/>
        </w:rPr>
        <w:t>E. 1.2.1</w:t>
      </w:r>
    </w:p>
    <w:p>
      <w:r>
        <w:t>L’intimé soutient que l’appel serait dépourvu de motivation suffisante. Il fait valoir que l’appelant se limiterait à invoquer pêle-mêle les moyens qu’il avait déjà soulevés en première instance, en se livrant à des critiques toutes générales de la décision attaquée et ce, alors même qu’il lui incombait de désigner avec précision les passages contestés. Ce faisant, il ne s’en prendrait aucunement au raisonnement des premiers juges et ne satisferait ainsi pas aux exigences de motivation de l’art. 311 al. 1 in initio CPC. Le grief est infondé. En effet, dans son écriture d’appel, l’appelant procède à une analyse minutieuse des actes de procédure (requête de conciliation, procès-verbal de l’audience de conciliation, autorisation de procéder, demande au fond) ayant conduit les premiers juges à prononcer l’irrecevabilité de la demande et expose de manière circonstanciée pour quelles raisons l’autorité intimée ne pouvait pas nier, au vu de la teneur desdits actes, qu’il y ait identité entre les parties à la procédure de conciliation et celles de la procédure au fond et partant que la conciliation préalable avait été valablement tentée. L’appel est ainsi suffisamment motivé.</w:t>
      </w:r>
    </w:p>
    <w:p>
      <w:r>
        <w:rPr>
          <w:b/>
        </w:rPr>
        <w:t>E. 1.2.2</w:t>
      </w:r>
    </w:p>
    <w:p>
      <w:r>
        <w:t>Au surplus, l e jugement attaqué, mettant fin à la procédure, est une décision finale et porte sur des conclusions patrimoniales dont la valeur litigieuse, au dernier état des conclusions de première instance, est supérieure à 10'000 fr. ; la voie de l’appel est donc ouverte. Dès lors que le jugement entrepris déclare la demande irrecevable sans en traiter le fond, les conclusions de l’appelant, tendant à l’annulation du jugement et au renvoi de la cause aux premiers juges pour la suite de la procédure, sont admissibles.</w:t>
      </w:r>
    </w:p>
    <w:p>
      <w:r>
        <w:rPr>
          <w:b/>
        </w:rPr>
        <w:t>E. 1.2.3</w:t>
      </w:r>
    </w:p>
    <w:p>
      <w:r>
        <w:t>Formé en temps utile par une partie au bénéfice d’un intérêt digne de protection (art. 59 al. 2 let. a CPC), le présent 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L’appelant reproche à l’autorité intimée d’avoir rendu un jugement d’irrecevabilité. Il fait valoir que ce serait à tort que les premiers juges ont nié l’existence d’une autorisation de procéder valable, en particulier le fait que cette autorisation porte sur le même objet du litige et les mêmes parties que la demande au fond. Il soutient qu’en cas d’incertitude sur les conclusions prises, il n’y aurait pas lieu de prononcer d’emblée l’irrecevabilité de la demande, mais d’interpréter les conclusions conformément aux principes généraux et selon les règles de la bonne foi afin de déterminer la réelle intention de son auteur lors du dépôt de l’acte. En l’espèce, les conclusions seraient claires et la partie défenderesse clairement désignée, son identité n’ayant pas évolué en cours d’instance.</w:t>
      </w:r>
    </w:p>
    <w:p>
      <w:r>
        <w:rPr>
          <w:b/>
        </w:rPr>
        <w:t>E. 3.2.1</w:t>
      </w:r>
    </w:p>
    <w:p>
      <w:r>
        <w:t>et les réf. cit. ; TF précité 4A_298/2021 du 8 novembre 2022 consid. 6.2.1.2). Sous l'empire du CPC, il faut encore, pour que la désignation inexacte soit susceptible d'être rectifiée dans la procédure pendante (par exemple devant le tribunal saisi de la demande), que la partie demanderesse inexactement désignée ait comparu personnellement à l'audience de conciliation (art. 204 CPC), à défaut de quoi l'autorisation de procéder délivrée n'est pas valable (ungültig) et la demande déposée doit être déclarée irrecevable, une condition de recevabilité faisant défaut. Lorsqu'il n'est plus possible de rectifier l'inexactitude dans la procédure en cours, il ne restera plus au demandeur que la possibilité d'introduire une nouvelle action (ATF 142 III 782 précité consid. 3.2.1 et les réf. cit.).</w:t>
      </w:r>
    </w:p>
    <w:p>
      <w:r>
        <w:rPr>
          <w:b/>
        </w:rPr>
        <w:t>E. 3.2.2.1</w:t>
      </w:r>
    </w:p>
    <w:p>
      <w:r>
        <w:t>Lorsque la conciliation est un préalable nécessaire à l'introduction de la demande, la litispendance débute au moment du dépôt de la requête de conciliation (art. 62 CPC) et a notamment pour effet de fixer les parties au procès, des modifications n'étant ensuite possibles qu'à des conditions restrictives. C'est pourquoi la requête de conciliation doit contenir la désignation de la partie adverse, à qui la requête est notifiée sans retard avec la citation à l'audience (art. 202 al. 2 et 3 CPC). Lorsque la tentative de conciliation n'aboutit pas, l'autorité de conciliation délivre au demandeur l'autorisation de procéder, laquelle comporte notamment les noms et adresses des parties désignées dans la requête de conciliation (cf. art. 209 al. 1 let. b et al. 2 let. a CPC) (TF 4A_482/2015 du 7 janvier 2016 consid. 2.1 et la réf. cit.).</w:t>
      </w:r>
    </w:p>
    <w:p>
      <w:r>
        <w:rPr>
          <w:b/>
        </w:rPr>
        <w:t>E. 3.2.2.2</w:t>
      </w:r>
    </w:p>
    <w:p>
      <w:r>
        <w:t>Selon la jurisprudence, la désignation inexacte d'une partie peut être rectifiée par le juge (ATF 142 III 782 consid. 3.2). La désignation inexacte d'une partie – que ce soit de son nom ou de son siège – ne vise que l'inexactitude purement formelle, qui affecte sa capacité d'être partie. Même si la désignation erronée correspond à un tiers qui existe réellement, elle peut être rectifiée lorsqu'il n'existe dans l'esprit du juge et des parties aucun doute raisonnable sur l'identité de la partie, notamment lorsque l'identité résulte de l'objet du litige (ATF 142 III 782 précité consid. 3.2.1 et les réf. cit. ; TF 4A_298/2021 du 8 novembre 2022 consid. 6.2.1.2). Il faut cependant qu'il n'y ait de risque de confusion ni pour les parties, ni pour le tribunal (TF 4A_242/2016 du 5 octobre 2016 consid. 3.4 non publié aux ATF 141 III 539). Cela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avait été ouverte contre elle (ATF 142 III 782 précité consid.</w:t>
      </w:r>
    </w:p>
    <w:p>
      <w:r>
        <w:rPr>
          <w:b/>
        </w:rPr>
        <w:t>E. 3.2.2.3</w:t>
      </w:r>
    </w:p>
    <w:p>
      <w:r>
        <w:t>Il ne faut pas confondre la désignation inexacte d'une partie avec le défaut de qualité pour agir ou pour défendre.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(ATF 142 III 782 précité consid. 3.2.2).</w:t>
      </w:r>
    </w:p>
    <w:p>
      <w:r>
        <w:rPr>
          <w:b/>
        </w:rPr>
        <w:t>E. 3.2.3</w:t>
      </w:r>
    </w:p>
    <w:p>
      <w:r>
        <w:t>Il y a formalisme excessif, constitutif d'un déni de justice formel prohibé par l'art. 29 al. 1 Cst. (Constitution fédérale du 18 avril 1999 ; RS 101),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(art. 5 al. 3 et 9 Cst., art. 3 al. 2 let. a CPP [Code de procédure pénale suisse du 5 octobre 2007 ; RS 312.0]). A cet égard, elle commande à l'autorité d'éviter de sanctionner par l'irrecevabilité les vices de procédure aisément reconnaissables qui auraient pu être redressés à temps, lorsque celle-ci pouvait s'en rendre compte assez tôt et les signaler utilement au plaideur. Si l'autorité a méconnu cette obligation, elle doit tolérer que l'acte concerné soit régularisé, éventuellement hors délai (TF 6B_218/2018 du 13 juin 2018 consid. 4.1).</w:t>
      </w:r>
    </w:p>
    <w:p>
      <w:r>
        <w:rPr>
          <w:b/>
        </w:rPr>
        <w:t>E. 3.3.1</w:t>
      </w:r>
    </w:p>
    <w:p>
      <w:r>
        <w:t>En l'occurrence, la conciliation a été tentée en la présence d’D.________, supposé avoir représenté « M.________SA », laquelle a comparu par « D.________, agent général, personnellement et Me N.________, conseillère juridique, tous deux au bénéfice d'une procuration » si l'on s'en tient à la manière dont l'audience de conciliation a été introduite, selon la verbalisation ressortant du procès-verbal de l'audience du 17 juin 2021. Les conclusions figurant dans l'autorisation de procéder délivrée à son issue font référence à « [...] », sans autre distinction, tandis que la partie défenderesse est désignée, dans le même document, comme étant « D.________, Agence générale L.________, [...] ». Il ressort par ailleurs de la requête de conciliation préalable formée le</w:t>
      </w:r>
    </w:p>
    <w:p>
      <w:r>
        <w:rPr>
          <w:b/>
        </w:rPr>
        <w:t>E. 3.3.2.1</w:t>
      </w:r>
    </w:p>
    <w:p>
      <w:r>
        <w:t>Au vu du déroulement de la procédure, si l'on doit opposer au précédent mandataire professionnel de l'appelant une certaine confusion dans ses actes de procédure et ses agissements (par le retrait de la seconde requête de conciliation, notamment), il faut constater que le défendeur et intimé, personnellement, a répondu à la convocation à l'audience de conciliation, à laquelle il a participé et a donc eu connaissance des prétentions formées contre lui par le demandeur et appelant. Ainsi que le défendeur et intimé l'a lui-même allégué et relevé, pièces à l'appui, il n'y a jamais eu de rapports de travail entre M.________SA et l'appelant, mais uniquement entre l'appelant et lui-même, respectivement entre l'appelant et le précédent agent général. Le contenu des allégués factuels de la requête de conciliation comme de la demande au fond présentent le défendeur et intimé comme l'employeur du demandeur et appelant, de sorte que là également, les choses étaient claires. A aucun moment, le défendeur et intimé n'a donc conçu une confusion quant au fait de savoir s'il devait ou non répondre à l'action introduite à son encontre. Ni les parties, ni le tribunal n'ont par ailleurs conçu de doute sur l'identité des parties au procès avant les premières plaidoiries. Le fait est en outre que si le défendeur a soulevé la problématique de la recevabilité de la demande eu égard aux conclusions figurant dans l'autorisation de procéder, il s'en est initialement remis à justice, ce qui démontre le peu d'importance qu'il accordait à cet argument formel. On ignore pour quelle raison la mention de M.________SA a été introduite dans le libellé du procès-verbal de l'audience de conciliation. Le fait est, néanmoins, que ce n'est pas non plus cette société anonyme qui figure dans l'autorisation de procéder litigieuse, mais « [...] », ce qui peut tout aussi bien viser l'agence générale L.________. Selon le Registre du commerce vaudois – dont les données peuvent être librement consultées en ligne et constituent dès lors des faits notoires ( TF 5A_731/2016 du 20 décembre 2016 consid. 4.1) –, cette agence était inscrite en raison individuelle sous la dénomination « [...] » jusqu'au 12 octobre 2022, date à laquelle la raison a été radiée en tant que telle car l'agence a été reprise par un autre agent général. En conclusion, le fait de déclarer la demande irrecevable – a fortiori à ce stade de la procédure et alors que la partie qui pouvait en tirer avantage ne le requérait pas –, tandis que la partie défenderesse – bien qu'inexactement désignée dans l'autorisation de procéder – était identifiable, s'apparente à du formalisme excessif incompatible avec le principe de la bonne foi en procédure, lequel s'impose aussi au juge.</w:t>
      </w:r>
    </w:p>
    <w:p>
      <w:r>
        <w:rPr>
          <w:b/>
        </w:rPr>
        <w:t>E. 3.3.2.2</w:t>
      </w:r>
    </w:p>
    <w:p>
      <w:r>
        <w:t>Ce qui précède implique l'admission de l'appel et le renvoi de la cause aux premiers juges pour qu'ils entrent en matière sur la demande et que la procédure au fond se poursuive en l’état où elle se trouvait au moment du prononcé litigieux. Cela dispense de l'examen des autres arguments invoqués en appel, en particulier s’agissant de la faculté pour l’appelant de modifier les conclusions après la délivrance de l’autorisation de procéder, dans la demande.</w:t>
      </w:r>
    </w:p>
    <w:p>
      <w:r>
        <w:rPr>
          <w:b/>
        </w:rPr>
        <w:t>E. 4</w:t>
      </w:r>
    </w:p>
    <w:p>
      <w:r>
        <w:t>mai 2021 par l'appelant, représenté par son précédent conseil professionnel, que celui-ci a mentionné sur la page de garde agir contre « D.________, Agence générale L.________, [...] », qu'il a exposé dans les faits avoir été engagé initialement par le précédent agent général (all. 1), que par avenant du 12 mars 2018, les rapports de travail litigieux ont été transférés à « D.________, qui devenait son employeur » (all. 5), qu'il a perçu des commissions dans le cadre d'autres prestations, notamment pour des prestations « dites immobilières faites pour l'Unité [...], appartenant à [...] » (all. 6), qu’à propos du litige le divisant d'avec un courtier, également employé par D.________, au sujet des commissions lui revenant dans ce cadre, l'appelant s’est adressé à « son employeur» pour obtenir certaine clarification (all. 14), que « l'intimé » a répondu à certaines questions (all. 15) et que « l'intimé » a ensuite écrit « à [...] » pour exposer la problématique posée par ces commissions revendiquées par l'appelant (all. 18). Toujours dans sa requête de conciliation, l’appelant élève diverses prétentions pécuniaires relevant de la résiliation des rapports de travail, soit du salaire et une indemnité pour « licenciement immédiat », exposant que « l'intimé » lui a versé certain montant brut (all. 33). Il conclut toutefois à ce qu’il plaise au tribunal de tenter la conciliation sur ses conclusions formulées contre « [...] », laquelle doit être condamnée à lui verser la somme totale de 95'000 francs. Par demande au fond du 18 octobre 2021, l'appelant, toujours représenté par son précédent conseil professionnel, a déclaré agir contre « D.________, Agence générale L.________ » et a conclu à ce qu'D.________ soit condamné à lui verser la somme totale de 65'909 fr. 65 à titre de salaire et d'indemnité pour licenciement abusif. Dans la motivation de la demande, il a fait référence à nouveau au fait que les rapports de travail initialement conclus avec le précédent agent général avaient été transférés à D.________ par avenant au contrat de travail, lequel a été désigné par la suite comme « le défendeur ». En réponse, l’intimé a soulevé la problématique de la recevabilité de la demande eu égard à la divergence de formulation des conclusions et s’en est remise à justice sur ce point.</w:t>
      </w:r>
    </w:p>
    <w:p>
      <w:r>
        <w:rPr>
          <w:b/>
        </w:rPr>
        <w:t>E. 4.1</w:t>
      </w:r>
    </w:p>
    <w:p>
      <w:r>
        <w:t>En conclusion, l’appel doit être admis et le jugement annulé, la cause étant renvoyée à l’autorité intimée pour qu’elle procède dans le sens des considérants qui précèdent.</w:t>
      </w:r>
    </w:p>
    <w:p>
      <w:r>
        <w:rPr>
          <w:b/>
        </w:rPr>
        <w:t>E. 4.2</w:t>
      </w:r>
    </w:p>
    <w:p>
      <w:r>
        <w:t>Les frais judiciaires de deuxième instance, arrêtés à 829 fr. 50 (art. 62 et 67 al. 3 TFJC [tarif des frais judiciaires civils du 28 septembre 2010 ; BLV 270.11.5]), seront mis à la charge de l’intimé, qui succombe entièrement (art. 106 al. 1 CPC). Partant, celui-ci versera à l’appelant la somme de 829 fr. 50 à titre de restitution de l’avance de frais qu’il a fournie ( art. 111 al. 2 CPC ). Il versera en outre à l’appelant la somme de 2'100 fr. à titre de dépens de deuxième instance (art. 3 al. 2 et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