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670 vom 27. August 2024</w:t>
      </w:r>
    </w:p>
    <w:p>
      <w:r>
        <w:t>VD Tribunal cantonal, 2024-08-27, FR</w:t>
      </w:r>
    </w:p>
    <w:p>
      <w:r>
        <w:rPr>
          <w:b/>
        </w:rPr>
        <w:t xml:space="preserve">Quelle: </w:t>
      </w:r>
      <w:r>
        <w:t>https://mcp.opencaselaw.ch/entscheid/vd_findinfo_HC___2024___670</w:t>
      </w:r>
    </w:p>
    <w:p>
      <w:r>
        <w:t>FR: VD_FINDINFO HC / 2024 / 670 du 27 août 2024</w:t>
      </w:r>
    </w:p>
    <w:p>
      <w:r>
        <w:t>IT: VD_FINDINFO HC / 2024 / 670 del 27 agosto 2024</w:t>
      </w:r>
    </w:p>
    <w:p>
      <w:pPr>
        <w:pStyle w:val="Heading2"/>
      </w:pPr>
      <w:r>
        <w:t>Regeste</w:t>
      </w:r>
    </w:p>
    <w:p>
      <w:r>
        <w:t>ADMISSION DE LA DEMANDE, MESURE PROVISIONNELLE, RETARD INJUSTIFIÉ, DROIT D'OBTENIR UNE DÉCISION, DIVORCE | 29 al. 1 Cst., 29 Cst., 265 al. 2 CPC (CH), 319 let. c CPC (CH)</w:t>
      </w:r>
    </w:p>
    <w:p>
      <w:pPr>
        <w:pStyle w:val="Heading2"/>
      </w:pPr>
      <w:r>
        <w:t>Erwägungen</w:t>
      </w:r>
    </w:p>
    <w:p>
      <w:r>
        <w:rPr>
          <w:b/>
        </w:rPr>
        <w:t>E. 1.1</w:t>
      </w:r>
    </w:p>
    <w:p>
      <w:r>
        <w:t>Aux termes de l’art. 319 let. c CPC (Code de procédure civile du 19 décembre 2008 ; RS 272), le recours est recevable contre le retard injustifié du tribunal. Ce recours peut être formé en tout temps (art. 321 al.</w:t>
      </w:r>
    </w:p>
    <w:p>
      <w:r>
        <w:rPr>
          <w:b/>
        </w:rPr>
        <w:t>E. 1.2</w:t>
      </w:r>
    </w:p>
    <w:p>
      <w:r>
        <w:t>En l'espèce, le recours pour retard injustifié a été déposé auprès de l’autorité compétente et par une partie dans un procès dont elle considère que le déroulement prend trop de temps et qui peut ainsi se prévaloir d'un intérêt à recourir (art. 59 al. 2 let. a CPC).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3. 3.1 3.1.1 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Pour déterminer la durée du délai raisonnable, il y a lieu de se fonder sur des éléments objectifs. Doivent notamment être pris en compte le degré de complexité de l'affaire (type de procédure, étendue et complexité de l'état de fait et des questions juridiques) et son urgence, l'enjeu que revêt le litige pour l'intéressé ainsi que le comportement de ce dernier et des autorités compétentes (ATF 144 II 486 consid. 3.2 ; ATF 144 I 318 consid. 7.1 ; TF 5D_13/2021 du 26 août 2021 consid. 4.3.1 ; CREC 15 février 2024/41).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(ATF 137 I 23 consid. 2.4.3 ; ATF 127 III 385 consid. 3a ; TF 5A_915/2016 du 12 avril 2017 consid. 5 ; CREC 15 février 2024/41). L'autorité ne peut invoquer une organisation déficiente ou une surcharge structurelle pour justifier la lenteur de la procédure (ATF 144 II 486 consid. 3.2 ; ATF 135 I 265 consid. 4.4 ; TF 5A_282/2023 du 17 mai 2023 consid. 3.1). Il appartient en effet à l'Etat d'organiser ses juridictions de manière à garantir aux citoyens une administration de la justice conforme aux règles (TF 5A_670/2016 du 13 février 2017 consid. 3.1). L'autorité ne saurait ainsi exciper de la surcharge de travail, du nombre insuffisant de juges ou d'employés ainsi que du manque de moyens techniques. On ne peut toutefois lui reprocher quelques temps morts qui sont inévitables dans une procédure (ATF 130 I 312 consid. 5.2 ; TF 5A_670/2016 précité consid. 3.1). De manière générale, il importe peu que le retard soit imputable à un comportement fautif de l'autorité ou à d'autres circonstances : est exclusivement décisif le fait que l'autorité n'a pas agi en temps utile (ATF 144 II 486 consid. 3.2 ; TF 5A_282/2023 précité consid. 3.1 ; TF 4A_321/2018 du 25 juillet 2018 consid. 1 ; CREC 10 octobre 2019/274). 3.1.2 Lorsque le juge prononce des mesures superprovisionnelles, il doit ensuite rapidement entendre la partie adverse et statuer « sans délai » sur la requête de mesures provisionnelles proprement dite (art. 265 al. 2 CPC ; TF 4D_10/2022 du 15 mars 2022 consid. 3.5). Le CPC ne prévoit ni appel ni recours contre les ordonnances de mesures superprovisionnelles (art. 265 al. 1 CPC ; ATF 137 III 417 consid. 1.3 et réf. cit. ; Tappy, in : Commentaire romand, Code de procédure civile, 2 ème éd., Bâle 2019, n. 16 ad art. 273 CPC) dès lors que la procédure prévue à l'art. 265 al. 2 CPC garantit un réexamen rapide de la décision et constitue ainsi la voie de droit contre cette décision, le Tribunal fédéral ayant précisé que l'obtention d'une décision de mesures provisionnelles était en principe plus rapide que le déroulement d'une procédure de deuxième instance (ATF 137 III 417 consid. 1.2 et réf. cit.). Concernant la fixation d'une audience de mesures provisionnelles, la Chambre de céans a notamment jugé que l'écoulement de huit semaines entre l'octroi de mesures superprovisionnelles et la tenue d'une telle audience était excessif (CREC 10 octobre 2019/274 et réf. cit. ; dans le même sens : TC FR 101 2023 194 du 29 juin 2023 consid. 2.2), puisque la loi prévoit que le juge doit statuer « sans délai ». Dans une autre affaire, la Chambre de céans a par ailleurs jugé qu’on devait attendre du premier juge qu'il rende une ordonnance de mesures provisionnelles dans les huit semaines qui suivent la tenue de l'audience (CREC 12 décembre 2013/429). Toutefois, ces délais ne constituent pas une limite absolue, les circonstances de l'espèce étant décisives (CREC 10 octobre 2019/274). 3.2 En l’espèce, onze semaines se sont écoulées entre les ordonnances de mesures superprovisionnelles du 27 mars 2024 et l’audience du 13 juin 2024. Onze autres semaines se sont écoulées depuis lors, soit cinq mois en tout, ce qui est excessif. L’ordonnance de mesures provisionnelles doit maintenant être rendue à très bref délai. Il y a ainsi lieu de reconnaître le retard injustifié et d’admettre le grief de déni de justice. L’ordonnance de mesures provisionnelles à rendre portera notamment sur la question de la modification de la contribution d’entretien fixée dans le cadre des mesures protectrices de l’union conjugale et remplacera dès lors ipso iure l’ordonnance du 9 décembre 2020. La conclusion du recourant portant spécifiquement sur le retard à statuer du tribunal concernant sa requête de modification des mesures protectrices de l’union conjugale déposée le 11 juin 2024 est ainsi sans objet.</w:t>
      </w:r>
    </w:p>
    <w:p>
      <w:r>
        <w:rPr>
          <w:b/>
        </w:rPr>
        <w:t>E. 4</w:t>
      </w:r>
    </w:p>
    <w:p>
      <w:r>
        <w:t>CPC) et il est de la compétence de la Chambre des recours civile du Tribunal cantonal (art. 73 al. 1 LOJV [loi d'organisation judiciaire du 12 décembre 1979 ; BLV 173.01]).</w:t>
      </w:r>
    </w:p>
    <w:p>
      <w:r>
        <w:rPr>
          <w:b/>
        </w:rPr>
        <w:t>E. 4.1</w:t>
      </w:r>
    </w:p>
    <w:p>
      <w:r>
        <w:t>En définitive, il y a lieu d’admettre le recours et d’impartir un délai au 6 septembre 2024 au Président du tribunal pour qu’il rende une décision de mesures provisionnelles.</w:t>
      </w:r>
    </w:p>
    <w:p>
      <w:r>
        <w:rPr>
          <w:b/>
        </w:rPr>
        <w:t>E. 4.2</w:t>
      </w:r>
    </w:p>
    <w:p>
      <w:r>
        <w:t>Si le recours pour déni de justice est admis, les dépens doivent alors être mis à la charge du canton en application de l'art. 106 al. 1 CPC, à moins que, conformément à l'art. 116 CPC, le droit cantonal n'ait exonéré le canton de devoir assumer ces frais (ATF 139 III 471 consid. 3.3). Le recourant qui obtient gain de cause dans une procédure pour retard injustifié a droit à des dépens de deuxième instance à la charge de l'Etat de Vaud, à défaut d'une disposition exonérant ce dernier (CREC 6 mars 2024/62 ; CREC 10 octobre 2019/274). En l’espèce, vu l’issue du recours, les frais judiciaires de deuxième instance, arrêtés à 400 fr. (art. 73 TFJC [tarif des frais judiciaires civils du 28 septembre 2010 ; BLV 270.11.5]), seront laissés à la charge de l’Etat (art. 107 al. 2 CPC). L’Etat devra en outre verser au recourant de pleins dépens de deuxième instance, fixés à 600 fr. (art. 3 et 8 TDC [tarif des dépens en matière civile du 23 novembre 2010 ; BLV 270.11.6]). Par ces motifs, la Chambre des recours civile du Tribunal cantonal, prononce : I. Le recours est admis. II. Ordre est donné au Président du Tribunal civil de l’arrondissement de La Côte de rendre une ordonnance de mesures provisionnelles d’ici au 6 septembre 2024. III. Les frais judiciaires de deuxième instance, arrêtés à 400 fr. (quatre cents francs), sont laissés à la charge de l’Etat. IV. L’Etat versera au recourant A.W.________ la somme de 600 fr. (six cents francs), à titre de dépens de deuxième instance. V. L’arrêt est exécutoire. La vice-présidente : La greffière : Du L'arrêt qui précède, dont la rédaction a été approuvée à huis clos, est notifié à : ‑ Me Caroline Ferrero Menut (pour A.W.________) ; ‑ Me David Bitton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