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615 vom 19. August 2024</w:t>
      </w:r>
    </w:p>
    <w:p>
      <w:r>
        <w:t>VD Tribunal cantonal, 2024-08-19, FR</w:t>
      </w:r>
    </w:p>
    <w:p>
      <w:r>
        <w:rPr>
          <w:b/>
        </w:rPr>
        <w:t xml:space="preserve">Quelle: </w:t>
      </w:r>
      <w:r>
        <w:t>https://mcp.opencaselaw.ch/entscheid/vd_findinfo_HC___2024___615</w:t>
      </w:r>
    </w:p>
    <w:p>
      <w:r>
        <w:t>FR: VD_FINDINFO HC / 2024 / 615 du 19 août 2024</w:t>
      </w:r>
    </w:p>
    <w:p>
      <w:r>
        <w:t>IT: VD_FINDINFO HC / 2024 / 615 del 19 agosto 2024</w:t>
      </w:r>
    </w:p>
    <w:p>
      <w:pPr>
        <w:pStyle w:val="Heading2"/>
      </w:pPr>
      <w:r>
        <w:t>Regeste</w:t>
      </w:r>
    </w:p>
    <w:p>
      <w:r>
        <w:t>HYPOTHÈQUE LÉGALE DES ARTISANS ET ENTREPRENEURS, PREUVE FACILITÉE, DÉCOMPTE{SENS GÉNÉRAL} | 837 al. 1 ch. 3 CC, 839 CC</w:t>
      </w:r>
    </w:p>
    <w:p>
      <w:pPr>
        <w:pStyle w:val="Heading2"/>
      </w:pPr>
      <w:r>
        <w:t>Erwägungen</w:t>
      </w:r>
    </w:p>
    <w:p>
      <w:r>
        <w:rPr>
          <w:b/>
        </w:rPr>
        <w:t>E. 5</w:t>
      </w:r>
    </w:p>
    <w:p>
      <w:r>
        <w:t>En définitive, l’appel, manifestement infondé, doit être rejeté selon le mode procédural de l’art. 312 al. 1 in fine CPC, et l’ordonnance de mesures provisionnelles confirmée. Au vu de l’issue de l’appel, les frais judiciaires de deuxième instance, arrêtés à 800 fr. (art. 65 al. 1 TFJC [tarif des frais judiciaires civils du 28 septembre 2010 ; BLV 270.11.5]), seront mis à la charge des appelants, qui succombent (art. 106 al. 1 CPC). L’intimée n’ayant pas été invitée à se déterminer sur l’appel, il n’y a pas matière à l’allocation de dépens. Par ces motifs, la Juge unique de la Cour d’appel civile prononce : I. L’appel est rejeté. II. L’ordonnance est confirmée. III. Les frais judiciaires de deuxième instance, arrêtés à 800 fr. (huit cents francs), sont mis à la charge des appelants U.________ et T.________, solidairement entre eux. IV. L’arrêt est exécutoire. La juge unique : La greffière : Du Le présent arrêt, dont la rédaction a été approuvée à huis clos, est notifié en expédition complète à : ‑ Me Flore Primault (pour U.________ et T.________), ‑ Me Michel Chevalley (pour R.________SA), et communiqué, par l'envoi de photocopies, à : ‑ Monsieur le Juge délégué de la Chambre patrimoniale cantonale.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