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2024 / 603 vom 1. Januar 2021</w:t>
      </w:r>
    </w:p>
    <w:p>
      <w:r>
        <w:t>VD Tribunal cantonal, 2021-01-01, FR</w:t>
      </w:r>
    </w:p>
    <w:p>
      <w:r>
        <w:rPr>
          <w:b/>
        </w:rPr>
        <w:t xml:space="preserve">Quelle: </w:t>
      </w:r>
      <w:r>
        <w:t>https://mcp.opencaselaw.ch/entscheid/vd_findinfo_HC___2024___603</w:t>
      </w:r>
    </w:p>
    <w:p>
      <w:r>
        <w:t>FR: VD_FINDINFO HC / 2024 / 603 du 1 janvier 2021</w:t>
      </w:r>
    </w:p>
    <w:p>
      <w:r>
        <w:t>IT: VD_FINDINFO HC / 2024 / 603 del 1 gennaio 2021</w:t>
      </w:r>
    </w:p>
    <w:p>
      <w:pPr>
        <w:pStyle w:val="Heading2"/>
      </w:pPr>
      <w:r>
        <w:t>Regeste</w:t>
      </w:r>
    </w:p>
    <w:p>
      <w:r>
        <w:t>NOUVEAU MOYEN DE FAIT, REJET DE LA DEMANDE, RÉSILIATION ANTICIPÉE, RÉSILIATION IMMÉDIATE, BAIL À LOYER, MOTIVATION DE LA DEMANDE | 257f CO, 317 al. 1 CPC (CH)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En définitive, l’appel doit être rejeté dans la mesure de sa recevabilité et le jugement confirmé.</w:t>
      </w:r>
    </w:p>
    <w:p>
      <w:r>
        <w:rPr>
          <w:b/>
        </w:rPr>
        <w:t>E. 6.2</w:t>
      </w:r>
    </w:p>
    <w:p>
      <w:r>
        <w:t>Les frais judiciaires de deuxième instance, arrêtés à 813 fr. (art. 62 al. 1 TFJC [tarif des frais judiciaires civils du 28 septembre 2010 ; BLV 270.11.5] ; compte tenu d’une valeur litigieuse de 21'312 fr. [592 fr. (loyer mensuel) x 36 mois]), seront mis à la charge de l’appelante, qui succombe (art. 106 al. 1 CPC). Il n’y a pas matière à allouer des dépens de deuxième instance à l’intimé, qui a procédé sans l’assistance d’un mandataire professionnel.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