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560 vom 19. Juni 2024</w:t>
      </w:r>
    </w:p>
    <w:p>
      <w:r>
        <w:t>VD Tribunal cantonal, 2024-06-19, FR</w:t>
      </w:r>
    </w:p>
    <w:p>
      <w:r>
        <w:rPr>
          <w:b/>
        </w:rPr>
        <w:t xml:space="preserve">Quelle: </w:t>
      </w:r>
      <w:r>
        <w:t>https://mcp.opencaselaw.ch/entscheid/vd_findinfo_HC___2024___560</w:t>
      </w:r>
    </w:p>
    <w:p>
      <w:r>
        <w:t>FR: VD_FINDINFO HC / 2024 / 560 du 19 juin 2024</w:t>
      </w:r>
    </w:p>
    <w:p>
      <w:r>
        <w:t>IT: VD_FINDINFO HC / 2024 / 560 del 19 giugno 2024</w:t>
      </w:r>
    </w:p>
    <w:p>
      <w:pPr>
        <w:pStyle w:val="Heading2"/>
      </w:pPr>
      <w:r>
        <w:t>Regeste</w:t>
      </w:r>
    </w:p>
    <w:p>
      <w:r>
        <w:t>SÛRETÉS | 99 al. 1 let. d CPC (CH)</w:t>
      </w:r>
    </w:p>
    <w:p>
      <w:pPr>
        <w:pStyle w:val="Heading2"/>
      </w:pPr>
      <w:r>
        <w:t>Erwägungen</w:t>
      </w:r>
    </w:p>
    <w:p>
      <w:r>
        <w:rPr>
          <w:b/>
        </w:rPr>
        <w:t>E. 1.1</w:t>
      </w:r>
    </w:p>
    <w:p>
      <w:r>
        <w:t>Les art. 103 et 319 let. b ch. 1 CPC ouvrent la voie du recours contre les décisions relatives aux avances de frais et aux sûretés. Ces décisions étant des ordonnances d'instruction et obéissant à la procédure sommaire par analogie (TF 5A_886/2017 du 20 mars 2018 consid. 3.3.2 ; TF 4A_226/2014 du 6 août 2014 consid. 2.1 ; parmi d’autres : CREC 17 août 2023/166 ; CREC 24 juin 2024/148 ; Tappy, in Commentaire romand, Code de procédure civile [ci-après : CR-CPC], 2 e éd., Bâle 2019, n. 11 ad art. 103 CPC et n. 14 ad art. 319 CPC),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1.2</w:t>
      </w:r>
    </w:p>
    <w:p>
      <w:r>
        <w:t>En l’espèce, formé en temps utile et dans les formes par une partie qui a un intérêt digne de protection (art. 59 al. 2 let. a CPC) contre un prononcé statuant sur le sort de sûretés en garantie des dépens, le recours est recevable, sous réserve de ce qui sera exposé ci-après (cf. infra consid. 3).</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2.2</w:t>
      </w:r>
    </w:p>
    <w:p>
      <w:r>
        <w:t>Les conclusions, les allégations de faits et les preuves nouvelles sont irrecevables en procédure de recours (art. 326 al. 1 CPC). En l’espèce, le recourant a produit, à l’appui de son recours, un bordereau de pièces qui figuraient déjà au dossier de première instance, de sorte qu’elles sont recevables.</w:t>
      </w:r>
    </w:p>
    <w:p>
      <w:r>
        <w:rPr>
          <w:b/>
        </w:rPr>
        <w:t>E. 3.1</w:t>
      </w:r>
    </w:p>
    <w:p>
      <w:r>
        <w:t>Le recourant reproche au premier juge de ne pas avoir fait droit à sa requête tendant à ce que l’intimée soit astreinte à fournir des sûretés en garantie du paiement des dépens de la procédure divisant les parties auprès de la Chambre patrimoniale cantonale. Il fait valoir à cet égard que les conditions de l’art. 99 al. 1 let. d CPC seraient réalisées, de sorte que cette requête aurait dû être admise.</w:t>
      </w:r>
    </w:p>
    <w:p>
      <w:r>
        <w:rPr>
          <w:b/>
        </w:rPr>
        <w:t>E. 3.2</w:t>
      </w:r>
    </w:p>
    <w:p>
      <w:r>
        <w:t>Aux termes de l'art. 99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d'un acte de défaut de biens (let. b) ; il est débiteur de frais d'une procédure antérieure (let. c) ; d'autres raisons font apparaître un risque considérable que les dépens ne soient pas versés (let. d). Selon la jurisprudence, le tribunal dispose d'un large pouvoir d'appréciation pour déterminer s'il existe « un risque considérable que les dépens ne soient pas versés » au sens de l'art. 99 al. 1 let. d CPC, dès lors qu'il s'agit d'une notion juridique indéterminée (TF 4A_147/2017 du 28 septembre 2017 consid. 5 ; parmi d’autres : CREC 28 mars 2023/66 consid. 6.2 ; Bohnet, CPC annoté, Neuchâtel 2022, n. 12 ad art. 99 CPC). L'art. 99 al. 1 let. d CPC constitue une clause générale qui permet de prendre en considération toute circonstance propre à accroître sensiblement le risque que les dépens restent sinon impayés. Comme indices de difficultés financières, sans pour autant relever d'une insolvabilité, la doctrine (Tappy, CR-CPC, op. cit. , n. 39 ad art. 99 CPC) énumère de multiples commandements de payer pour des causes diverses, une demande de sursis ou de remise concernant les frais d'une autre procédure, une mise en liquidation, le bradage d'actifs, l'aveu d'une impossibilité de payer. Etant donné que toute menace possible sur le recouvrement ne suffit pas pour obtenir des sûretés en garantie des dépens, l'autorité doit examiner selon son pouvoir d'appréciation et de manière sommaire si l'état de fait subsidiaire de la menace importante pour l'indemnisation des parties est donné (TF  5A_604/2021 du 18 février 2022 consid. 3.4.3).</w:t>
      </w:r>
    </w:p>
    <w:p>
      <w:r>
        <w:rPr>
          <w:b/>
        </w:rPr>
        <w:t>E. 3.3.1</w:t>
      </w:r>
    </w:p>
    <w:p>
      <w:r>
        <w:t>Le recourant fait valoir que les conditions de l’art. 99 al. 1 let. d CPC seraient réalisées et que sa requête en fourniture de sûretés aurait dû être admise pour ce motif. Il expose à cet égard qu’avant de déposer sa demande reconventionnelle, l’intimée lui devait 8'500 fr. à titre de dépens plus intérêts, que son conseil a dû relancer le conseil de l’intimée à plusieurs reprises pour tenter d’en obtenir le paiement, et que ce n’est finalement que le jour du dépôt de la réponse sur la requête de sûretés que l’intimée s’est acquittée des montants en cause, soit le 24 janvier 2024. Il relève ainsi que l’intimée n’a payé les dépens de la procédure antérieure que lorsqu’une requête en fourniture de sûretés a été déposée à son encontre, ce qui démontrerait qu’elle n’entendait pas s’acquitter de ceux-ci. Selon le recourant, il y aurait donc lieu de s’attendre à ce que l’intimée ne s’acquitte pas des dépens qui lui seront éventuellement alloués dans le cadre de la procédure actuellement pendante auprès de la Chambre patrimoniale, de sorte qu’il n’aura pas d’autre choix que de procéder par la voie de l’exécution forcée qui est toutefois inopérante au vu de la situation actuelle en Russie. Le recourant expose encore à cet égard qu’il est notoire que les relations entre la Suisse et la Russie se sont détériorées depuis le début de la guerre en Ukraine, en raison des sanctions adoptées par la Suisse contre la Russie. Or, il soutient que ce contexte remettrait en cause l’efficacité de la voie diplomatique prévue pour le recouvrement des dépens qui pourraient lui être alloués (Convention de la Haye relative à la procédure civile du 1 er mars 1954 à laquelle la Suisse et la Russie sont parties).</w:t>
      </w:r>
    </w:p>
    <w:p>
      <w:r>
        <w:rPr>
          <w:b/>
        </w:rPr>
        <w:t>E. 3.3.2</w:t>
      </w:r>
    </w:p>
    <w:p>
      <w:r>
        <w:t>En l’espèce, le recourant invoque pour la première fois au stade du recours l’application de l’art. 99 al. 1 let. d CPC. En première instance, il a en effet fondé sa requête en fourniture de sûretés uniquement sur l’art. 99 al. 1 let. a et c CPC, soit sur le fait que l’intimée n’avait pas de domicile en Suisse, respectivement qu’elle était débitrice envers lui de frais d’une procédure antérieure. Or, les allégations selon lesquelles le recourant serait dans l’impossibilité de recouvrer d’éventuels dépens qui lui seraient alloués en raison de la guerre en Ukraine sont nouvelles, et partant irrecevables en vertu de l’art. 326 al. 1 CPC. Pour le reste, le simple fait pour le recourant d’alléguer que l’intimée a payé les dépens qui lui étaient dus après le dépôt de sa requête en fourniture de sûretés ne saurait à lui seul constituer une « menace importante » au sens de la jurisprudence précitée, qui justifierait l’application de l’art. 99 al. 1 let. d CPC.</w:t>
      </w:r>
    </w:p>
    <w:p>
      <w:r>
        <w:rPr>
          <w:b/>
        </w:rPr>
        <w:t>E. 4</w:t>
      </w:r>
    </w:p>
    <w:p>
      <w:r>
        <w:t>Au vu de ce qui précède, le recours, manifestement infondé, doit être rejeté dans la mesure de sa recevabilité (art. 322 al. 1 in fine CPC) et le prononcé entrepris doit être confirmé. Les frais judiciaires de deuxième instance, arrêtés à 1’560 fr. (art. 69 al. 1 TFJC [tarif des frais judiciaires en matière civile du 28 septembre 2010 ; BLV 270.11.5]), sont mis à la charge du recourant, qui succombe (art. 106 al. 1 CPC).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rejeté dans la mesure où il est recevable. II. Le prononcé est confirmé. III. Les frais judiciaires de deuxième instance, arrêtés à 1'560 fr. (mille cinq cent soixante francs), sont mis à la charge du recourant P.________. IV. L’arrêt est exécutoire. La vice-présidente : Le greffier : Du L'arrêt qui précède, dont la rédaction a été approuvée à huis clos, est notifié à : ‑ Me Jean-Marc Reymond (pour P.________), ‑ Me Ekaterine Blinova (pour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