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535 vom 8. Juli 2024</w:t>
      </w:r>
    </w:p>
    <w:p>
      <w:r>
        <w:t>VD Tribunal cantonal, 2024-07-08, FR</w:t>
      </w:r>
    </w:p>
    <w:p>
      <w:r>
        <w:rPr>
          <w:b/>
        </w:rPr>
        <w:t xml:space="preserve">Quelle: </w:t>
      </w:r>
      <w:r>
        <w:t>https://mcp.opencaselaw.ch/entscheid/vd_findinfo_HC___2024___535</w:t>
      </w:r>
    </w:p>
    <w:p>
      <w:r>
        <w:t>FR: VD_FINDINFO HC / 2024 / 535 du 8 juillet 2024</w:t>
      </w:r>
    </w:p>
    <w:p>
      <w:r>
        <w:t>IT: VD_FINDINFO HC / 2024 / 535 del 8 luglio 2024</w:t>
      </w:r>
    </w:p>
    <w:p>
      <w:pPr>
        <w:pStyle w:val="Heading2"/>
      </w:pPr>
      <w:r>
        <w:t>Regeste</w:t>
      </w:r>
    </w:p>
    <w:p>
      <w:r>
        <w:t>EFFET SUSPENSIF, MESURE PRÉPROVISIONNELLE, GARDE DE FAIT, OBLIGATION D'ENTRETIEN | 265 CPC (CH), 315 al. 4 let. b CPC (CH), 315 al. 5 CPC (CH)</w:t>
      </w:r>
    </w:p>
    <w:p>
      <w:pPr>
        <w:pStyle w:val="Heading2"/>
      </w:pPr>
      <w:r>
        <w:t>Erwägungen</w:t>
      </w:r>
    </w:p>
    <w:p>
      <w:r>
        <w:rPr>
          <w:b/>
        </w:rPr>
        <w:t>E. 6</w:t>
      </w:r>
    </w:p>
    <w:p>
      <w:r>
        <w:t>En définitive, la requête d’effet suspensif doit être partiellement admise en ce sens que le chiffre VI de l’ordonnance entreprise est suspendu jusqu’à droit connu sur l’appel. Quant à la requête de mesures superprovisionnelles, celle-ci doit être rejetée. Il sera statué sur les frais judiciaires et les dépens dans le cadre de l’arrêt sur appel à intervenir (cf. art. 104 al. 3 CPC). Par ces motifs, la Juge unique de la Cour d’appel civile, prononce : I. La requête d’effet suspensif est partiellement admise. II. L’exécution du chiffre VI du dispositif de l’ordonnance de mesures provisionnelles rendue le 14 juin 2024 par le Président du Tribunal civil de l’arrondissement de Lausanne est suspendue jusqu’à droit connu sur l’appel. III. La requête de mesures superprovisionnelles est rejetée. IV. Il sera statué sur les frais judiciaires et les dépens de la présente ordonnance dans le cadre de l’arrêt sur appel à intervenir. La juge unique :               La greffière : Du La présente ordonnance, dont la rédaction a été approuvée à huis clos, est notifiée à : ‑ Me Simon Demierre (pour A.F.________), ‑ Me Marlène Bérard (pour B.F.________),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