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459 vom 10. Juli 2024</w:t>
      </w:r>
    </w:p>
    <w:p>
      <w:r>
        <w:t>VD Tribunal cantonal, 2024-07-10, FR</w:t>
      </w:r>
    </w:p>
    <w:p>
      <w:r>
        <w:rPr>
          <w:b/>
        </w:rPr>
        <w:t xml:space="preserve">Quelle: </w:t>
      </w:r>
      <w:r>
        <w:t>https://mcp.opencaselaw.ch/entscheid/vd_findinfo_HC___2024___459</w:t>
      </w:r>
    </w:p>
    <w:p>
      <w:r>
        <w:t>FR: VD_FINDINFO HC / 2024 / 459 du 10 juillet 2024</w:t>
      </w:r>
    </w:p>
    <w:p>
      <w:r>
        <w:t>IT: VD_FINDINFO HC / 2024 / 459 del 10 luglio 2024</w:t>
      </w:r>
    </w:p>
    <w:p>
      <w:pPr>
        <w:pStyle w:val="Heading2"/>
      </w:pPr>
      <w:r>
        <w:t>Regeste</w:t>
      </w:r>
    </w:p>
    <w:p>
      <w:r>
        <w:t>BIENS DE L'ENFANT, DROIT D'ÊTRE ENTENDU, DROIT D'UTILISATION, REJET DE LA DEMANDE | 320 al. 2 CC, 261 CPC (CH)</w:t>
      </w:r>
    </w:p>
    <w:p>
      <w:pPr>
        <w:pStyle w:val="Heading2"/>
      </w:pPr>
      <w:r>
        <w:t>Erwägungen</w:t>
      </w:r>
    </w:p>
    <w:p>
      <w:r>
        <w:rPr>
          <w:b/>
        </w:rPr>
        <w:t>E. 1.1</w:t>
      </w:r>
    </w:p>
    <w:p>
      <w:r>
        <w:t>Selon l’art. 308 al. 1 let. b CPC (Code de procédure civile du 19 décembre 2008 ; RS 272), l’appel est ouvert contre les ordonnances de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(art. 271 et 276 al. 1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4A_621/2021 du 30 août 2022 consid. 3.1 ; TF 4A_274/2020 du 1 er septembre 2020 consid. 4 ; TF 4A_593/2015 du 13 décembre 2016 consid. 5.1 ; TF 4A_376/2016 du 2 décembre 2016 consid. 3.2.1).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1.3</w:t>
      </w:r>
    </w:p>
    <w:p>
      <w:r>
        <w:t>En l’espèce, en pages 6 à 11 de son acte d’appel, l’appelante introduit 37 allégués avec offres de preuve. Parmi ces allégués, seuls seront examinés ( infra ) ceux qui sont reliés, de manière claire et nette, à un grief dirigé contre la décision attaquée ; les autres, faute de satisfaire aux exigences de motivation qui découlent de l’art. 311 CPC, sont irrecevables. Sous cette réserve, formé en temps utile par une partie qui justifie d’un intérêt digne de protection (art. 59 al. 2 let. a CPC) sur des conclusions qui sont principalement non patrimoniales, l’appel est recevable. La réponse de l’intimé, déposée en temps utile et dans les formes prescrites par la loi,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Vu l’application de la procédure sommaire, le juge se prononce toutefois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2.2</w:t>
      </w:r>
    </w:p>
    <w:p>
      <w:r>
        <w:t>S’agissant des questions relatives aux enfants, la maxime d'office s'applique, ce qui signifie que le tribunal n’est pas lié par les conclusions des parties et qu’il peut s’en écarter (art. 296 al. 3 CPC). L’autorité d’appel ne peut toutefois pas aller au-delà de l’objet du litige tel que porté en deuxième instance par les parties (ATF 137 III 617 consid. 4.5.2 et 4.5.3).</w:t>
      </w:r>
    </w:p>
    <w:p>
      <w:r>
        <w:rPr>
          <w:b/>
        </w:rPr>
        <w:t>E. 2.3</w:t>
      </w:r>
    </w:p>
    <w:p>
      <w:r>
        <w:t>L’art. 296 al. 1 CPC prévoit une maxime inquisitoire illimitée en ce qui concerne les questions relatives aux enfants (TF 5A_245/2019 du 1 er juillet 2019 consid. 3.2.1 et les réf. citées). Cela ne dispense toutefois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2.4</w:t>
      </w:r>
    </w:p>
    <w:p>
      <w:r>
        <w:t>Même lorsque les maximes précitées sont applicables, l’appel doit être motivé. Ni la maxime d’office ni la maxime inquisitoire illimitée ne permettent en effet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in Revue suisse de procédure civile [RSPC] 2016 p. 190 ; Juge unique CACI 2 août 2021/372 consid. 3). Les griefs motivés délimitent le cadre de l’examen du juge d’appel. Hors de ce cadre, même le principe jura novit curia (art. 57 CPC) n’impose pas d’intervenir, sauf en cas de vice manifeste. Dans le cadre des griefs motivés en revanche, le juge revoit librement la décision, n’étant lié ni par la motivation du premier juge, ni par les motifs appuyant les griefs (ATF 144 III 394 consid. 4.1.4 et les réf. citées, JdT 2019 II 147). Le dépôt d’une réplique ne permet jamais de compléter le contenu d’une requête d’appel (TF 5A_75/2019 du 19 février 2019 consid. 3.1 ; TF 4A_380/2014, RSPC 2015 50 ; TF4A_659/2011 consid. 5, SJ 2012 I 233).</w:t>
      </w:r>
    </w:p>
    <w:p>
      <w:r>
        <w:rPr>
          <w:b/>
        </w:rPr>
        <w:t>E. 2.5.1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dans l’ATF 144 III 349 consid. 4.2.1, le Tribunal fédéral a considéré que lorsque la procédure est soumise à la maxime inquisitoire illimitée, les parties peuvent présenter des nova en appel même si les conditions de cette disposition ne sont pas réunies (cf. ég. TF 5A_582/2020 du 7 octobre 2021 consid. 4.1.4). Mais il convient de préciser que,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celui-ci (cf. TF 5A_788/2017 du 2 juillet 2018 consid. 4.2.2, non publ.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Spühler, in Spühler/Tenchio/Infanger, Basler Kommentar ZPO, 3 e éd., n. 19 ad art. 317 in fine , p. 1920).</w:t>
      </w:r>
    </w:p>
    <w:p>
      <w:r>
        <w:rPr>
          <w:b/>
        </w:rPr>
        <w:t>E. 2.5.2</w:t>
      </w:r>
    </w:p>
    <w:p>
      <w:r>
        <w:t>En l’espèce, dans la mesure où l’appel concerne notamment l’entretien d’un enfant mineur, les maximes inquisitoires illimitées et d’office sont applicables. Partant, les faits et pièces nouveaux sont recevables en appel, peu importe qu’ils eussent pu être invoqués devant le premier juge, pour autant toutefois qu’ils aient été avancés et motivés en temps utile dans la procédure d’appel, ce qui est le cas des pièces annexées à l’acte d’appel et à la réponse. Quant aux pièces annexées aux déterminations spontanées de l’appelante, celles-ci sont également recevables, dès lors qu’elles tendent à prouver des faits survenus après le dépôt de l’appel (pour celles annexées aux déterminations du</w:t>
      </w:r>
    </w:p>
    <w:p>
      <w:r>
        <w:rPr>
          <w:b/>
        </w:rPr>
        <w:t>E. 5</w:t>
      </w:r>
    </w:p>
    <w:p>
      <w:r>
        <w:t>L’appelante reproche à la présidente d’avoir violé l’art. 320 al. 2 CC en rejetant sa requête.</w:t>
      </w:r>
    </w:p>
    <w:p>
      <w:r>
        <w:rPr>
          <w:b/>
        </w:rPr>
        <w:t>E. 5.1</w:t>
      </w:r>
    </w:p>
    <w:p>
      <w:r>
        <w:t>Selon l’art. 318 al. 1 CC, les père et mère administrent les biens de l’enfant aussi longtemps qu’ils ont l’autorité parentale. L’art. 319 CC les autorise à utiliser les revenus des biens de l’enfant pour son entretien, son éducation et sa formation et, dans la mesure où cela est équitable, pour les besoins du ménage, étant toutefois précisé que le surplus passe dans les biens de l’enfant. Les prélèvements sur les biens de l’enfants sont régis par l’art. 320 CC. Aux termes de cette disposition légale, les versements en capital, dommages-intérêts et autres prestations semblables peuvent être utilisés par tranches pour l’entretien de l’enfant, autant que les besoins courants l’exigent (al. 1) ; lorsque cela est nécessaire pour subvenir à l’entretien, à l’éducation ou à la formation de l’enfant, l’autorité de protection de l’enfant peut permettre aux père et mère de prélever sur les autres biens de l’enfant la contribution qu’elle fixera (al. 2). Ainsi, les prélèvements sur les éléments de la fortune de l’enfant autres que les biens visés à l’art. 320 al. 1 CC ne sont admis que si ces prélèvements sont nécessaires pour subvenir à l’entretien, à l’éducation ou à la formation de l’enfant, s’ils sont bien affectés à ces fins et s’ils ont été expressément autorisés (Meier/Stettler, Droit de la filiation, 6 e éd., 2019, n. 1253 p. 822). La nécessité se détermine en fonction de l’obligation des père et mère de subvenir par leurs propres ressources aux besoins de leur enfant (art. 276 al. 2 CC). Elle implique que les père et mère n’aient pas les facultés suffisantes pour couvrir le coût de l’entretien de l’enfant, en totalité ou en partie (Meier/Stettler, op. cit. , n. 1254 p. 823). La nécessité peut être provisoire : l’autorisation peut être accordée à des parents confrontés à des difficultés temporaires, par exemple à un manque momentané de liquidités, moyennant qu’elle soit assortie d’une obligation de remboursement (Affolter-Fringeli/Vogel, Commentaire bernois, 2016, n. 47 ad art. 320 CC ; Papaux van Delden, Commentaire romand, Code civil, 2 e éd., 2024, n. 7 ad art. 320 CC). S’il ne sert pas à éteindre des dettes de l’enfant, le prélèvement doit servir à son entretien courant. Le prélèvement ne saurait couvrir les frais du ménage (Papaux van Delden, op. cit. , n. 6 ad art. 320 CC). Il ne saurait, non plus, permettre à l’un des parents de se rembourser de frais d’entretien passés, à titre rétroactif (Meier/Stettler, op. cit. , n. 1255 p. 823 ; Papaux van Delden, op. cit. , n. 8 ad art. 320 CC). En tout état, avant qu’un prélèvement n’entre en considération, les revenus de la fortune (art. 319 CC) et du travail (art. 323 CC) de l’enfant, ainsi que les versements visés à l’art. 320 al. 1 CC, doivent avoir été épuisés et il faut que les parents soient aux prises avec de sérieuses difficultés pour faire face à l’entretien de l’enfant ou qu’il existe une disproportion importante entre le patrimoine de l’enfant et la capacité économique des parents (Papaux van Delden, op. cit. , n. 4 ad art. 320 CC).</w:t>
      </w:r>
    </w:p>
    <w:p>
      <w:r>
        <w:rPr>
          <w:b/>
        </w:rPr>
        <w:t>E. 5.2</w:t>
      </w:r>
    </w:p>
    <w:p>
      <w:r>
        <w:t>Selon l’art. 315 al. 1 CC, les mesures de protection de l’enfant sont ordonnées par l’autorité de protection de l’enfant du domicile de l’enfant. Toutefois, en vertu de l’art. 315a al. 1 CC, le juge chargé de régler les relations des père et mère avec l’enfant selon les dispositions régissant le divorce ou la protection de l’union conjugale prend également les mesures nécessaires à la protection de l’enfant et charge l’autorité de protection de l’enfant de leur exécution. Selon le texte de l’art. 320 al. 2 CC, l’autorité compétente pour autoriser des prélèvements est l’autorité de protection de l’enfant. À première vue, l’autorisation donnée aux parents de procéder à des prélèvements sur les biens de l’enfant ne constitue pas une mesure de protection des biens de l’enfant. Mais l’octroi de cette autorisation suppose que soit examinée l’opportunité de prendre des mesures de surveillance sur l’affectation des sommes prélevées (Papaux van Delden, op. cit. , n. 4 ad art. 320 CC). Il est dès lors cohérent que la compétence pour accorder ou refuser l’autorisation de procéder à des prélèvements selon l’art. 320 al. 2 CC passe au juge matrimonial, en vertu de l’art. 315a al. 1 CC, lorsque les parents sont en instance de divorce.</w:t>
      </w:r>
    </w:p>
    <w:p>
      <w:r>
        <w:rPr>
          <w:b/>
        </w:rPr>
        <w:t>E. 5.3</w:t>
      </w:r>
    </w:p>
    <w:p>
      <w:r>
        <w:t>En l’espèce, l’appelante requiert l’autorisation de faire des prélèvements sur la fortune de l’enfant parce que l’intimé, au mépris des décisions judiciaires exécutoires, ne verse pas l’entier des sommes qu’il doit pour financer l’entretien convenable de son fils. La procédure de recouvrement tarderait. L’appelante aurait réalisé ses bijoux. Elle aurait en outre bientôt épuisé la générosité des parents et amis qui l’ont soutenue jusqu’à présent. Elle ne serait dès lors plus en mesure d’avancer encore longtemps les fonds nécessaires à l’entretien convenable de l’enfant, dont le train de vie devrait être fortement réduit si les prélèvements ne sont pas autorisés. De tels motifs pourraient justifier l’octroi de l’autorisation, moyennant obligation pour l’appelante de rendre compte à l’autorité compétente de l’utilisation des montants prélevés et de les rembourser dès le recouvrement des contributions du père, si les difficultés de recouvrement rencontrées par l’appelante étaient seulement temporaires. Or, exception faite de la part de sa copropriété sur l’ancien logement conjugal, l’intimé, qui vit essentiellement du soutien de son père, paraît être personnellement propriétaire de peu de biens saisissables en Suisse. En cas de réalisation forcée de la part de copropriété de l’intimé sur l’ancien logement conjugal des parties, on ignore quel serait le produit de réalisation prévisible et quelle part de ce produit reviendrait à l’appelante. Le risque existe, par conséquent, que l’argent prélevé sur le compte de l’enfant ne lui soit en définitive jamais remboursé. Dès lors que le père a les moyens de financer l’entretien convenable de l’enfant sans que la fortune de celui-ci soit mise à contribution, il ne saurait être question de prendre le risque de frustrer l’enfant de sa fortune pour remédier aux difficultés de recouvrement de la pension : dans la situation présente, cette solution ne ferait que retarder de quelques mois la réduction du train de vie à laquelle le père contraint l’enfant par son attitude, tout en causant à l’enfant un préjudice peut-être irréparable, puisqu’il n’est pas acquis que les grands-parents paternels, qui avaient fait don à l’enfant de l’argent déposé sur le compte bancaire, soient disposés à reconstituer un jour l’épargne de l’enfant par de nouvelles donations. Il n’y avait dès lors pas lieu d’admettre, même partiellement, la requête du 6 mars 2023 sur le fondement de l’art. 320 al. 2 CC. Le moyen pris d’une violation de cette disposition légale est mal fondé.</w:t>
      </w:r>
    </w:p>
    <w:p>
      <w:r>
        <w:rPr>
          <w:b/>
        </w:rPr>
        <w:t>E. 6</w:t>
      </w:r>
    </w:p>
    <w:p>
      <w:r>
        <w:t>Enfin, l’appelante fait grief à la présidente d’avoir violé l’art. 261 CPC en rejetant sa requête du 6 mars 2023.</w:t>
      </w:r>
    </w:p>
    <w:p>
      <w:r>
        <w:rPr>
          <w:b/>
        </w:rPr>
        <w:t>E. 6.1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w:t>
      </w:r>
    </w:p>
    <w:p>
      <w:r>
        <w:rPr>
          <w:b/>
        </w:rPr>
        <w:t>E. 6.2</w:t>
      </w:r>
    </w:p>
    <w:p>
      <w:r>
        <w:t>Dans le cas présent, la prétention de l’enfant est déjà reconnue par une décision judiciaire définitive et exécutoire. Les difficultés rencontrées par l’appelante relèvent de l’exécution forcée, laquelle, s’agissant de dettes d’argent, est régie exclusivement par la LP (loi fédérale sur la poursuite pour dettes et la faillite ; RS 281.1 ; art. 335 al. 2 CPC). Il s’ensuit que la requête présentée le 6 mars 2023 par l’appelante ne pouvait être admise ni sur le fondement de l’art. 320 al. 2 CC, ni sur celui de l’art. 261 CPC. C’est à bon droit que la présidente l’a rejetée.</w:t>
      </w:r>
    </w:p>
    <w:p>
      <w:r>
        <w:rPr>
          <w:b/>
        </w:rPr>
        <w:t>E. 7</w:t>
      </w:r>
    </w:p>
    <w:p>
      <w:r>
        <w:t>L’appelante requiert l’assistance judiciaire. Le juge unique l’a dispensée d’avancer les frais de la procédure de deuxième instance, mais il a réservé sa décision pour le surplus.</w:t>
      </w:r>
    </w:p>
    <w:p>
      <w:r>
        <w:rPr>
          <w:b/>
        </w:rPr>
        <w:t>E. 7.1</w:t>
      </w:r>
    </w:p>
    <w:p>
      <w:r>
        <w:t>Aux termes de l'art. 117 CPC, une personne a droit à l'assistance judiciaire si elle ne dispose pas des ressources suffisantes (let. a) et si sa cause ne paraît pas dépourvue de toute chance de succès (let. b). Ces conditions – cumulatives (TF 5A_181/2019 du 27 mai 2019 consid. 3.1.1 ;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144 III 531 consid. 4.1 ; TF 5A_972/2021 du 2 février 2023 consid. 2.1.1).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141 III 369 consid. 4.1 ; ATF 135 I 221 consid. 5.1 ; TF 5A_69/2022 du 17 mai 2023 consid. 4.1.2 ; TF 5A_984/2022 du 27 mars 2023 consid. 3.1). La jurisprudence ne se satisfait de la vraisemblance de l’indigence que lorsque le requérant a pris toutes les mesures qu’on pouvait raisonnablement attendre de lui pour établir sa situation économique (ATF 104 Ia 323 consid. 2b ; TF 5A_181/2019 précité consid. 3.1.2 ; TF 5D_114/2012 du 4 octobre 2012 consid. 2.3.2 et les réf. citées). Pour déterminer si la personne est indigente, la fortune mobilière et immobilière doit être prise en compte, pour autant qu'elle soit disponible (ATF 124 I 1 consid. 2a ; TF 5A_863/2017 du 3 août 2018 consid. 3.2). S’agissant de la fortune immobilière, il y a lieu d'examiner si le propriétaire d'un immeuble peut se procurer les moyens suffisants en mettant en gage ou en augmentant un crédit hypothécaire existant, voire en aliénant le bien-fonds (ATF 119 Ia</w:t>
      </w:r>
    </w:p>
    <w:p>
      <w:r>
        <w:rPr>
          <w:b/>
        </w:rPr>
        <w:t>E. 7.2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4A_48/2021 du 21 juin 2021 consid. 3.2 ; TF 4D_22/2020 du 29 juin 2020 consid. 4.2.2).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5A_489/2023 du 20 octobre 2023 consid. 3.1.3 ; TF 5A_311/2023 du 6 juillet 2023 consid. 3.2 ; TF 5A_287/2023 du 5 juillet 2023 consid. 3.2 et les réf. citées).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précité consid. 3.2 ; TF 5A_327/2017 du 2 août 2017 consid. 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5A_287/2023 précité consid. 3.2 ; TF 5A_984/2022 précité consid. 3.2 ; TF 4A_461/2022 du 15 décembre 2022 consid. 4.1.3). La requête peut alors être rejetée pour défaut de motivation ou de preuve du besoin (cf. TF 5A_300/2019 du 23 juillet 2019 consid. 2.1).</w:t>
      </w:r>
    </w:p>
    <w:p>
      <w:r>
        <w:rPr>
          <w:b/>
        </w:rPr>
        <w:t>E. 7.3</w:t>
      </w:r>
    </w:p>
    <w:p>
      <w:r>
        <w:t>En l’espèce, bien qu’assistée d’une mandataire professionnelle, l’appelante n’a pas produit à l’appui de sa requête d’assistance judiciaire des extraits actualisés de ses comptes bancaires, ni renseigné le juge de céans sur la possibilité ou l’impossibilité pour elle de prendre un crédit hypothécaire garanti par sa propre part de copropriété sur l’immeuble de [...]. La preuve de son indigence n’est dès lors pas rapportée. Partant, la requête d’assistance judiciaire doit être rejetée. 8. 8.1 En définitive, l’appel doit être rejeté et l’ordonnance confirmée. 8.2 Vu l’issue de l’appel, les frais judiciaires de deuxième instance, arrêtés à 600 fr. (art. 65 al. 2 TFJC [tarif des frais judiciaires civils du 28 septembre 2010 ; BLV 270.11.5]), sont mis à la charge de l’appelante, qui succombe (art. 106 al. 1 CPC). L’appelante versera en outre à l’intimé de plein dépens de deuxième instance, lesquels peuvent être arrêtés à 1’500 fr. (art. 3 al. 4 et 9 al. 2 TDC [tarif des dépens en matière civile du 23 novembre 2010 ; BLV 270.11.6]) au vu du travail effectué, étant précisé que tous les procédés accomplis par l’intimé n’étaient pas nécessaires. Par ces motifs, le Juge unique de la Cour d’appel civile prononce : I. L’appel est rejeté. II. L’ordonnance est confirmée. III. La requête d’assistance judiciaire de l’appelante B.B.________ est rejetée. IV. Les frais judiciaires de deuxième instance, arrêtés à 600 fr. (six cents francs), sont mis à la charge de l’appelante B.B.________. V. L’appelante B.B.________ doit verser à l’intimé A.B.________ la somme de 1’500 fr. (mille cinq cents francs) à titre de dépens de deuxième instance. VI. L’arrêt est exécutoire. Le juge unique :               La greffière : Du Le présent arrêt, dont la rédaction a été approuvée à huis clos, est notifié en expédition complète à : ‑ Me Virginie Jordan (pour B.B.________), ‑ Me Aurélie Cornamusaz (pour A.B.________),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consid. 5) ou encore en le mettant en location (TF 4A_290/2019 du 4 septembre 2019 consid. 2.3). Il appartient au requérant de démontrer qu’il n’est pas possible d’augmenter le crédit hypothécaire sur sa part de copropriété, en requérant, le cas échéant, le consentement de son conjoint, lorsque l’art. 201 al. 2 CC est applicable (TF 5A_265/2016 du 30 janvier 2018 consid. 2.3). Des biens ne correspondant pas à des valeurs liquides ou aisément négociables entrent également en considération dans la mesure où l’on peut attendre du requérant qu’il les engage ou les vende, quitte à ce qu’un délai lui soit laissé pour ce faire ; les biens sont présumés disponibles même lorsque le requérant les possède en commun avec d’autres (CREC 20 janvier 2022/23 consid. 3.2.1 ; Tappy, Commentaire romand, Code de procédure civile, 2 e éd., 2019, n. 25 ad art. 117 CPC). L’aliénation d’un immeuble n’est exigible que si l’on peut compter que sa réalisation procure les moyens nécessaires au financement du procès, ce qui dépend de sa valeur vénale et des charges qui le grèvent. On ne doit cependant pas se montrer trop exigeant sur la preuve de sa valeur vénale et sur l’impossibilité d’obtenir un crédit hypothécaire (TF 5A_726/2014 du 2 février 2015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