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430 vom 2. Juli 2024</w:t>
      </w:r>
    </w:p>
    <w:p>
      <w:r>
        <w:t>VD Tribunal cantonal, 2024-07-02, FR</w:t>
      </w:r>
    </w:p>
    <w:p>
      <w:r>
        <w:rPr>
          <w:b/>
        </w:rPr>
        <w:t xml:space="preserve">Quelle: </w:t>
      </w:r>
      <w:r>
        <w:t>https://mcp.opencaselaw.ch/entscheid/vd_findinfo_HC___2024___430</w:t>
      </w:r>
    </w:p>
    <w:p>
      <w:r>
        <w:t>FR: VD_FINDINFO HC / 2024 / 430 du 2 juillet 2024</w:t>
      </w:r>
    </w:p>
    <w:p>
      <w:r>
        <w:t>IT: VD_FINDINFO HC / 2024 / 430 del 2 luglio 2024</w:t>
      </w:r>
    </w:p>
    <w:p>
      <w:pPr>
        <w:pStyle w:val="Heading2"/>
      </w:pPr>
      <w:r>
        <w:t>Regeste</w:t>
      </w:r>
    </w:p>
    <w:p>
      <w:r>
        <w:t>REGISTRE DE L'ÉTAT CIVIL, ACTION EN RECTIFICATION, CHANGEMENT DE NOM, DROIT D'ÊTRE ENTENDU, ADMISSION DE LA DEMANDE | 42 al. 1 CC, 29 al. 2 Cst., 249 let. a ch. 4 CPC (CH)</w:t>
      </w:r>
    </w:p>
    <w:p>
      <w:pPr>
        <w:pStyle w:val="Heading2"/>
      </w:pPr>
      <w:r>
        <w:t>Erwägungen</w:t>
      </w:r>
    </w:p>
    <w:p>
      <w:r>
        <w:rPr>
          <w:b/>
        </w:rPr>
        <w:t>E. 1.1.1</w:t>
      </w:r>
    </w:p>
    <w:p>
      <w:r>
        <w:t>L’appel est recevable contre les décisions finales de première instance (art. 308 al. 1 let. a CPC [Code de procédure civile du 19 décembre 2008 ; RS 272]) au sens de l’art. 236 CPC, dans les causes non patrimoniales (Jeandin, Commentaire romand, Code de procédure civile, 2 e éd., Bâle 2019 [ci-après : CR-CPC], n. 19 ad art. 308 CPC et les réf. citées). Si la décision a été rendue en procédure sommaire – ce qui est le cas dans les affaires en modification d’une inscription dans les registres de l’état civil (art. 249 let. a ch. 4 CPC ; art. 42 CC [Code civil suisse du 10 décembre 1907 ; RS 210]) –, le délai pour l’introduction de l’appel est de dix jours à compter de la notification de la décision motivée (art. 314 al. 1 CPC). L’appel, écrit et motivé, doit être introduit auprès de l’instance d’appel, soit en l’occurrence la Cour d’appel civile (art. 84 al. 1 LOJV [loi vaudoise d’organisation judiciaire du 12 décembre 1979 ; BLV 173.01]).</w:t>
      </w:r>
    </w:p>
    <w:p>
      <w:r>
        <w:rPr>
          <w:b/>
        </w:rPr>
        <w:t>E. 1.1.2</w:t>
      </w:r>
    </w:p>
    <w:p>
      <w:r>
        <w:t>La prise de conclusions nouvelles en appel doit être admise restrictivement, car elle porte atteinte au principe du double degré de juridiction (Jeandin, CR-CPC, n. 10 ad art. 317 CPC). La loi pose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w:t>
      </w:r>
    </w:p>
    <w:p>
      <w:r>
        <w:rPr>
          <w:b/>
        </w:rPr>
        <w:t>E. 1.2</w:t>
      </w:r>
    </w:p>
    <w:p>
      <w:r>
        <w:t>En l’espèce, l’appel a été déposé en temps utile, dès lors que le délai de dix jours expirait le lundi du Jeûne fédéral, soit le 18 septembre 2023, et qu’il a donc été reporté de plein droit au mardi 19 septembre 2023 (cf. art. 142 al. 3 CPC). Formé par une partie qui dispose d’un intérêt digne de protection (art. 59 al. 2 let. a CPC) et dirigé contre une décision finale dans une cause non patrimoniale, l’appel, écrit et motivé, respecte par ailleurs les autres conditions de forme et de recevabilité.</w:t>
      </w:r>
    </w:p>
    <w:p>
      <w:r>
        <w:rPr>
          <w:b/>
        </w:rPr>
        <w:t>E. 1.3</w:t>
      </w:r>
    </w:p>
    <w:p>
      <w:r>
        <w:t>Dans son acte d’appel, l’appelant a pris une conclusion III en réforme concernant la rectification de son nom de famille et de celui de ses quatre enfants dans le registre de l’état civil. Il y a toutefois lieu d’opérer une distinction à cet égard. En effet, l’action en rectification de l’état civil a été ouverte par l’appelant exclusivement, lequel n’a jamais pris, devant l’autorité de première instance, de conclusion en faveur de ses enfants, dont l’aîné a par ailleurs atteint la majorité le [...] 2023. L’appelant n’expose pas pour quel motif cette modification serait admissible ni n’explicite de moyens nouveaux en rapport avec celle-ci. Partant, la conclusion III de l’appelant est irrecevable en ce qu’elle concerne ses enfants.</w:t>
      </w:r>
    </w:p>
    <w:p>
      <w:r>
        <w:rPr>
          <w:b/>
        </w:rPr>
        <w:t>E. 2</w:t>
      </w:r>
    </w:p>
    <w:p>
      <w:r>
        <w:t>let. b CPC) (TF 5A_18/2018 du 16 mars 2018 consid. 4.3.2.1).</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2.2.1</w:t>
      </w:r>
    </w:p>
    <w:p>
      <w:r>
        <w:t>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S’agissant des vrais nova (echte Noven),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précité consid. 4.2.1 ; ATF 143 III 42 consid. 4.1, JdT 2017 II 342, SJ 2017 I 460 ; TF 5A_392/2021 du 20 juillet 2021 consid. 3.4.1.2 ; TF 5A_451/2020 du 31 mars 2020 consid. 3.1.1). Un vrai novum est produit « sans retard » s’il l’est dans un délai de dix jours, respectivement d’une à deux semaines (TF 5A_451/2020 précité consid. 3.1.1 et les nombreuses réf. citées). Conformément à l’art. 255 let. b CPC, les procédures relevant de la juridiction gracieuse – comme c’est le cas en l’espèce, la cause portant uniquement sur la rectification du nom de famille (cf. ATF 131 III 201 consid. 1.2, JdT 2005 I 316 ; ATF 100 II 290 consid. 1 ; TF 5A_519/2008 du 12 octobre 2009 consid. 3.1 ; TF 5A.34/2004 du 22 avril 2005 consid. 1 et la réf. citée) – sont soumises à la maxime inquisitoire. Il s’agit d’une maxime inquisitoire simple ou sociale (ATF 141 III 294 consid. 6.1, SJ 2016 I 29 ; ATF 139 III 278 consid. 4.3, JdT 2014 II 337 ; TF 5A_823/2023 du 5 mars 2024 consid. 3.3 ; TF 5A_636/2018 du 8 octobre 2018 consid. 3.3.2 et les réf. citées) et non pas illimitée. Lorsque la maxime inquisitoire simple est applicable, les conditions de l’art. 317 al. 1 CPC doivent être réunies pour que les parties puissent invoquer des faits et moyens de preuve nouveaux, l’application de l’art. 229 al. 3 CPC étant exclue en appel (ATF 144 III 349 précité consid. 4.2.1 ; ATF 138 III 625 consid. 3.2.2, SJ 2013 I 94 ; TF 5A_146/2023 du 23 mai 2023 consid. 6.2.3.2 et les réf. citées ; TF 5A_636/2018 précité consid. 3.3.2 et les réf. citées).</w:t>
      </w:r>
    </w:p>
    <w:p>
      <w:r>
        <w:rPr>
          <w:b/>
        </w:rPr>
        <w:t>E. 2.2.2</w:t>
      </w:r>
    </w:p>
    <w:p>
      <w:r>
        <w:t>En l’espèce, outre les pièces de forme qui sont recevables (pièces n os 1 à 4), l’appelant a produit trois pièces à l’appui de son appel. La pièce n°</w:t>
      </w:r>
    </w:p>
    <w:p>
      <w:r>
        <w:rPr>
          <w:b/>
        </w:rPr>
        <w:t>E. 5</w:t>
      </w:r>
    </w:p>
    <w:p>
      <w:r>
        <w:t>produite le 19 septembre 2023, soit une copie d’une confirmation délivrée le 8 septembre 2023 par l’officier de l’état civil de la Commune de « [...] », est postérieure au jugement de première instance et a été produite sans retard. Partant, elle est recevable. Le 19 octobre 2023, l’appelant a encore produit deux nouvelles pièces. La première constitue une copie d’une attestation établie le 18 septembre 2023 par le délégué du quartier de la Commune de « [...] [ sic ] » concernant le décès de sa mère survenu le 5 septembre 2023. Cette pièce – constituant un vrai nova étant donné qu’elle est postérieure aux délibérations de première instance, le jugement ayant été rendu le lendemain, soit le 6 septembre 2023 – a été produite par l’appelant un mois après sa délivrance. Dans la mesure où ce document a été établi au Sénégal, il est admis que l’appelant ne l’a reçu que quelques jours, voire quelques semaines plus tard, et qu’il l’a donc invoqué sans retard. Cette pièce est ainsi recevable. La seconde pièce consiste en une copie d’un extrait du registre des actes de naissance de l’Etat civil de « [...] » établi le 9 août 2023. Ce document, délivré à l’appelant plus de deux mois avant sa production en appel, est un pseudo nova dès lors qu’il existait déjà au début des délibérations de première instance intervenues postérieurement au courrier adressé le 9 août 2023 au SPOP par le greffier. Il appert que cette pièce aurait pu être produite en première instance et que l’appelant ne démontre pas avoir fait preuve de la diligence requise pour ce faire, de sorte qu’elle est irrecevable. Cette irrecevabilité n’a toutefois pas incidence sur le résultat de la cause. 3. 3.1 L’appelant se plaint de ce que la présidente aurait mésusé de son pouvoir d’appréciation en rejetant sa demande en rectification de l’état civil, mais surtout de ce qu’elle aurait violé, avant de rendre son jugement, son droit d’être entendu en ne lui permettant pas de se déterminer sur une pièce importante de la procédure, dont la production avait été annoncée, à savoir les déterminations de l’Autorité de surveillance de l’état civil sur l’authenticité des documents qu’il avait produits à l’appui de sa demande. Il soutient que la présidente aurait retenu de manière arbitraire que ses déclarations n’avaient aucune force probante, tout en se contentant, pour rejeter l’action, des seules déclarations faites par l’Autorité de surveillance de l’état civil indiquant que les documents sénégalais qu’il avait produits étaient contrefaits. Il fait valoir que l’authenticité de son passeport et de sa carte d’identité sénégalais n’a pas été remise en cause et que les documents qu’il avait produits à l’Ambassade du Sénégal à [...] (France), respectivement auprès des autorités sénégalaises, pour les obtenir n’avaient jamais été contestés. L’appelant invoque encore que le document produit à l’appui de son appel – en l’occurrence la confirmation du registre des naissances – démontrerait qu’il a été adopté par son beau-père [...] K.________, second époux de sa mère. L’ensemble de ces éléments contredirait l’affirmation jamais documentée du SPOP selon laquelle il aurait produit des documents contrefaits et qu’il aurait échoué dans la preuve stricte de l’exactitude des données le concernant. 3.2 Compris comme l’un des aspects de la notion générale de procès équitable au sens des art. 29 Cst. féd.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 TF 5A_322/2022 du 5 octobre 2023 consid. 3.1.1 ; TF 5A_381/2020 du 1 er septembre 2020 consid. 3.1). En principe, la violation du droit d’être entendu entraîne l’annulation de la décision attaquée, indépendamment des chances de succès de l’appel ou du recours sur le fond (ATF 143 IV 380 consid. 1.4.1, SJ 2018 I 293 ; TF 4A_307/2023 du 21 décembre 2023 consid. 6.1 ; TF 5A_723/2022 du 24 août 2023 consid. 2.3). 3.3 3.3.1 Par courrier du 8 août 2023, l’Autorité de surveillance de l’état civil, SPOP, a indiqué à la présidente que l’Ambassade suisse à [...] (Sénégal) l’avait informé par courriel que les documents sénégalais produits par l’appelant étaient contrefaits et qu’un rapport établi par la personne de confiance mandatée par la représentation diplomatique devait lui parvenir dans le courant de la semaine suivante. Dans ce même courrier, le SPOP a considéré, en l’état, que la demande de rectification de l’appelant ne devait pas être acceptée, laissant à l’autorité judiciaire le soin de décider si elle souhaitait déjà rendre sa décision ou poursuivre l’instruction en sollicitant de l’appelant qu’il fournisse des documents conformes. Annexé à ce courrier, le courriel de l’Ambassade de Suisse pour le Sénégal du 4 août 2023 confirme qu’un rapport était attendu et qu’il était prévu qu’il soit envoyé par courriel et courrier diplomatique au SPOP la semaine suivante. Par courrier du 9 août 2023, le greffe du tribunal a demandé au SPOP, avec copie à l’appelant, de lui « transmettre les informations de l’Ambassade dès réception ». Selon le procès-verbal des opérations, la décision a toutefois été rendue le 6 septembre 2023 sans autre formalité. 3.3.2 En répondant au SPOP qu’il était attendu de ce Service qu’il produise le rapport de l’Ambassade de Suisse et en adressant copie de ce courrier à l’appelant, l’autorité de première instance a laissé entendre que l’instruction se poursuivait. Du reste, aucun délai n’a été imparti à l’appelant pour qu’il se détermine sur la prise de position du SPOP. Or, le fait pour la présidente de fonder sa décision sur cette prise de position sans avoir préalablement recueilli les déterminations de l’appelant à ce sujet, consacre une violation du droit d’être entendu. De bonne foi, l’appelant ne devait pas s’attendre à ce que la décision soit rendue sans qu’il puisse faire valoir ses arguments vis-à-vis de la prise de position du SPOP, ce d’autant que cette prise de position était déterminante dans cette affaire. Par conséquent, le jugement doit être annulé et la cause renvoyée à l’autorité précédente. Il appartiendra à celle-ci d’inviter formellement l’appelant à se déterminer sur la prise de position du SPOP, le cas échéant de poursuivre l’instruction sur la base des explications complémentaires qui lui seront fournies, et de statuer à nouveau. 4. 4.1 En définitive, l’appel doit être admis et le jugement entrepris annulé, la cause étant renvoyée à la présidente pour qu’elle procède dans le sens des considérants qui précèdent. 4.2 S’agissant du sort des frais et dépens de première instance, la cause est également renvoyée sur cette question à la présidente au vu des considérants qui précèdent. 4.3 Il ne sera pas perçu de frais judiciaires de deuxième instance (art. 11 TFJC [tarif des frais judiciaires civils du 28 septembre 2010 ; BLV 270.11.5]). 4.4 4.4.1 En procédure gracieuse, si l’appelant ou le recourant a dû interjeter appel ou recours pour obtenir une mesure qui n’avait pas été ordonnée en première instance, il doit être en principe considéré comme obtenant gain de cause contre l’Etat et il se justifie d’astreindre celui-ci à lui verser des dépens (ATF 142 III 110 consid. 3.3, RSPC 2016 p. 119 ; Tappy, CR-CPC, n. 9 ad art. 106 CPC). 4.4.2 Me Raphaël Brochellaz, conseil d’office de l’appelant, indique dans sa liste d’opérations avoir consacré 8 heures et 25 minutes au dossier, dont 1 heure et 25 minutes effectuées par l’avocat-stagiaire de l’étude, pour la période du 19 septembre 2023 au 4 juin 2024. Les heures annoncées sont acceptables. Il conviendrait en principe d’indemniser l’avocat de l’appelant au tarif de conseil d’office (art. 2 al. 1 let. a et b et 3bis RAJ [règlement sur l’assistance judiciaire en matière civile du 7 décembre 2010 ; BLV 211.02.3]). Toutefois, vu l’admission de l’appel en raison de la violation du droit d’être entendu de l’appelant, l’Etat doit lui verser des dépens, de sorte qu’on se limitera à lui en accorder. Les dépens en faveur de l’appelant peuvent être évalués, au regard du temps indiqué dans la liste des opérations déposée par son conseil, à 2'400 fr. (art. 3 al. 4 et 9 al. 2 TDC [tarif des dépens en matière civile du 23 novembre 2010 ; BLV 270.11.6]) et doivent être alloués directement à Me Brochellaz.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