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418 vom 26. April 2024</w:t>
      </w:r>
    </w:p>
    <w:p>
      <w:r>
        <w:t>VD Tribunal cantonal, 2024-04-26, FR</w:t>
      </w:r>
    </w:p>
    <w:p>
      <w:r>
        <w:rPr>
          <w:b/>
        </w:rPr>
        <w:t xml:space="preserve">Quelle: </w:t>
      </w:r>
      <w:r>
        <w:t>https://mcp.opencaselaw.ch/entscheid/vd_findinfo_HC___2024___418</w:t>
      </w:r>
    </w:p>
    <w:p>
      <w:r>
        <w:t>FR: VD_FINDINFO HC / 2024 / 418 du 26 avril 2024</w:t>
      </w:r>
    </w:p>
    <w:p>
      <w:r>
        <w:t>IT: VD_FINDINFO HC / 2024 / 418 del 26 aprile 2024</w:t>
      </w:r>
    </w:p>
    <w:p>
      <w:pPr>
        <w:pStyle w:val="Heading2"/>
      </w:pPr>
      <w:r>
        <w:t>Regeste</w:t>
      </w:r>
    </w:p>
    <w:p>
      <w:r>
        <w:t>AVOCAT D'OFFICE, HONORAIRES, REJET DE LA DEMANDE, DROIT D'ÊTRE ENTENDU | 110 CPC (CH), 122 al. 1 let. a CPC (CH)</w:t>
      </w:r>
    </w:p>
    <w:p>
      <w:pPr>
        <w:pStyle w:val="Heading2"/>
      </w:pPr>
      <w:r>
        <w:t>Erwägungen</w:t>
      </w:r>
    </w:p>
    <w:p>
      <w:r>
        <w:rPr>
          <w:b/>
        </w:rPr>
        <w:t>E. 1.1</w:t>
      </w:r>
    </w:p>
    <w:p>
      <w:r>
        <w:t>La décision arrêtant la rémunération du conseil d’office au sens de l’art. 122 al. 1 let. a CPC (Code de procédure civile du 19 décembre 2008 ; RS 272) est une décision sur frais qui ne peut être attaquée séparément que par un recours selon l’art. 110 CPC (Tappy, Commentaire romand, Code de procédure civile, 2 e éd., Bâle 2019, n. 21 ad art. 122 CPC). L’art. 122 al. 1 let. a CPC figure au chapitre qui réglemente l’assistance judiciaire et qui comprend les art. 117 à 123 CPC. On déduit d’une application analogique de l’art. 119 al. 3 CPC – lequel prévoit l’application de la procédure sommaire lorsque le tribunal statue sur la requête d’assistance judiciaire – que la décision statuant sur l’indemnité du conseil d’office est rendue en procédure sommaire (CREC 3 avril 2023/71 consid. 1.1 ; CREC 20 juillet 2021/201 consid. 3.1). Partant, le délai pour déposer un recours est de dix jours (art. 321 al. 2 CPC). Dès lors que sa propre situation est affectée, le conseil juridique dispose à titre personnel d’un droit de recours au sujet de la rémunération équitable qui lui est accordée (ATF 131 V 153 consid. 1 ; TF 5D_7/2019 du 5 août 2019 consid. 1.3 non publié in ATF 145 III 433, SJ 2020 I 163 ; CREC 22 février 2023/42 consid. 1.1). Le recours, écrit et motivé, doit être introduit auprès de l’instance de recours (art. 321 al. 1 CPC), soit la Chambre des recours civile (art. 73 al. 1 LOJV [loi vaudoise d’organisation judiciaire du 12 décembre 1979 ; BLV 173.01]).</w:t>
      </w:r>
    </w:p>
    <w:p>
      <w:r>
        <w:rPr>
          <w:b/>
        </w:rPr>
        <w:t>E. 1.2</w:t>
      </w:r>
    </w:p>
    <w:p>
      <w:r>
        <w:t>En l’espèce, déposé en temps utile par une partie disposant d’un intérêt digne de protection (art. 59 al. 2 let. a CPC), le recours, écrit et motivé, est recevable.</w:t>
      </w:r>
    </w:p>
    <w:p>
      <w:r>
        <w:rPr>
          <w:b/>
        </w:rPr>
        <w:t>E. 2.1</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RSPC 2021 p. 252). S’agissant des faits retenus par le premier juge, le pouvoir d’examen de la Chambre des recours est en revanche limité à l’arbitraire (TF 5D_214/2021 du 6 mai 2022 consid. 2.2.1 ; TF 4D_30/2017 du 5 décembre 2017 consid. 2.2 et les réf. citées). Une décision n’est pas arbitraire du seul fait qu’elle apparaît discutable ou même critiquable ; il faut qu’elle soit manifestement insoutenable, et cela non seulement dans sa motivation mais aussi dans son résultat (ATF 147 I 241 consid. 6.2.1, RSPC 2021 p. 228 ; ATF 144 I 113 consid. 7.1 ; ATF 141 III 564 consid. 4.1, JdT 2016 II 161, SJ 2016 I 231 ; ATF 140 III 16 consid. 2.1, JdT 2016 II 299).</w:t>
      </w:r>
    </w:p>
    <w:p>
      <w:r>
        <w:rPr>
          <w:b/>
        </w:rPr>
        <w:t>E. 2.2</w:t>
      </w:r>
    </w:p>
    <w:p>
      <w:r>
        <w:t>En procédure de recours, les conclusions, les allégations de faits et les preuves nouvelles sont irrecevables (art. 326 al. 1 CPC). En l’espèce, outre les pièces de forme (pièces n os 1 et 2) qui sont recevables, le recourant a produit à l’appui de son recours le courrier qui lui a été adressé le 28 février 2024 par la présidente, accompagné de son annexe, soit la copie de liste des opérations du 16 février 2024 contenant les annotations manuelles de la magistrate (pièce n° 3). Cette pièce figurant au dossier de première instance, elle est recevable. En outre, il a produit une autorisation de production de correspondances signée le 7 mars 2024 par X.________ (pièce n° 4) ainsi que les 31 courriers litigieux adressés à sa cliente (pièce n° 5). Dans la mesure où ces dernières pièces ne figurent pas au dossier de première instance, elles sont irrecevables. Cela étant, elles sont de toute manière sans influence sur l’issue du présent recours au vu des motifs qui seront exposés ci-après.</w:t>
      </w:r>
    </w:p>
    <w:p>
      <w:r>
        <w:rPr>
          <w:b/>
        </w:rPr>
        <w:t>E. 3.1</w:t>
      </w:r>
    </w:p>
    <w:p>
      <w:r>
        <w:t>Le recourant conteste la réduction de 6 heures et 12 minutes opérée par la présidente à la suite du retranchement de 31 courriers envoyés à sa mandante.</w:t>
      </w:r>
    </w:p>
    <w:p>
      <w:r>
        <w:rPr>
          <w:b/>
        </w:rPr>
        <w:t>E. 3.2</w:t>
      </w:r>
    </w:p>
    <w:p>
      <w:r>
        <w:t>Selon l’art. 122 al. 1 let. a CPC, le conseil juridique commis d’office est rémunéré équitablement par le canton. Cette notion de « rémunération équitable » doit permettre aux cantons de fixer, sur la base d’un large pouvoir d’appréciation, le montant de l’indemnité allouée au conseil d’office dans les limites de leur tarif des frais (art. 96 CPC ; TF 5D_118/2021 du 15 octobre 2021 consid. 5.1.1 ; TF 5A_82/2018 du 15 juin 2018 consid. 6.2.1 et les réf. citées). Le Tribunal fédéral a retenu que, pour fixer la quotité de l’indemnité du conseil d’office, l’autorité cantonale doit s’inspirer des critères applicables à la modération des honoraires d’avocat. Elle doit tenir compte de la nature et de l’importance de la cause, des difficultés particulières qu’elle peut présenter en fait et en droit, du temps que l’avocat lui a consacré, de la qualité de son travail, du nombre de conférences, audiences et instances auxquelles il a pris part, du résultat obtenu et de la responsabilité qu’il a assumée.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JdT 1998 I 252, SJ 1996 379 ; TF 5D_118/2021 précité consid. 5.1.3 ; TF 5D_4/2018 du 17 avril 2018 consid. 3.4.2 ; TF 5D_149/2016 du 30 janvier 2017 consid. 3.3).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(TF 5D_118/2021 précité consid. 5.1.3 ; TF 5A_82/2018 précité consid. 6.2.2). L’avocat doit toutefois bénéficier d’une marge d’appréciation suffisante pour déterminer l’importance du travail qu’exige l’affaire (TF 5A_10/2018 du 17 avril 2018 consid. 3.2.2.3, RSPC 2018 p. 370 ; TF 5D_149/2016 précité consid. 3.3). Dans le canton de Vaud, l’art. 2 al. 1 RAJ (règlement du 7 décembre 2010 sur l’assistance judiciaire en matière civile ; BLV 211.02.3), qui renvoie à l’art. 122 al. 1 let. a CPC,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(art. 2 al. 1 let. a RAJ). Le temps indiqué pour la rédaction de mémos ou d’avis de transmission ne peut être pris en compte à titre d’activité déployée par l’avocat, s’agissant de pur travail de secrétariat. Lorsque l’avocat, dans le but exclusif d’assurer au client la transmission d’écrits reçus de ou à destination de l’autorité, juge nécessaire d’écrire expressément à son client plutôt que de les lui transmettre avec une carte de compliment non signée, le temps consacré est superflu et ne justifie pas une rémunération. Il est admissible de considérer que les opérations correspondant à l’envoi de courriels – ou, comme en l’espèce, de courriers – au client le même jour qu’un courrier à la partie adverse et/ou au tribunal, toutes comptabilisées de manière forfaitaire à 12 minutes, constituent manifestement des mémos non facturables (CREC 9 novembre 2023/231 consid. 3.2.2 et les réf. citées ; CREC 6 novembre 2023/228 consid. 3.2.2 ; CREC 16 août 2022/189 consid. 3.2.1).</w:t>
      </w:r>
    </w:p>
    <w:p>
      <w:r>
        <w:rPr>
          <w:b/>
        </w:rPr>
        <w:t>E. 3.3</w:t>
      </w:r>
    </w:p>
    <w:p>
      <w:r>
        <w:t>Le recourant soutient avoir précisément distingué dans sa liste des opérations les mémos, intitulés « cartons », des autres correspondances, mentionnées comme telles. Il allègue à cet égard que la liste des opérations fait au total état de 144 envois à la cliente, dont 58 (soit plus de 40 %) sont des « cartons ». Il considère qu’à la lecture des 31 courriers en question – en l’espèce irrecevables –, on ne peut que se rendre compte qu’il ne s’agit pas de mémos mais bien de correspondances. Le recourant procède ensuite à un bref descriptif du contenu de chacune de ces 31 correspondances, qui, selon lui, contiennent en substance soit des explications ou une question à la cliente, soit une demande de documents. Il admet toutefois qu’un des courriers, en l’occurrence celui du 24 mai 2022, aurait pu faire l’objet d’un mémo.</w:t>
      </w:r>
    </w:p>
    <w:p>
      <w:r>
        <w:rPr>
          <w:b/>
        </w:rPr>
        <w:t>E. 3.4</w:t>
      </w:r>
    </w:p>
    <w:p>
      <w:r>
        <w:t>En l’espèce, il y a tout d’abord lieu de relever que l’avocat doit spontanément apporter, auprès du premier juge, les informations qui seraient nécessaires à la bonne compréhension de sa note. A cet égard, la jurisprudence fédérale expose expressément que, si l’avocat d’office présente une note de frais et honoraires, le droit d’être entendu garanti par l’art. 29 al. 2 Cst. féd. (Constitution fédérale de la Confédération suisse du 18 avril 1999 ; RS 101) n’oblige pas l’autorité à lui donner, dans chaque cas, l’occasion de fournir des explications ultérieures et qu’il n’est, en principe, pas violé si celle-là réduit la créance des honoraires de l’avocat sans audition complémentaire (TF 5D_31/2022 du 11 août 2022 consid. 6.2 et les réf. citées). Dans cette mesure, il incombait au recourant de démontrer à la présidente que les opérations litigieuses, soit les nombreux courriers à sa cliente, pour lesquelles il entendait être indemnisé, étaient justifiées, quitte à fournir une note explicative avec sa note de frais. Le simple fait que le recourant adopte une dénomination différente pour les mémos, en l’occurrence les « cartons », et les correspondances n’apparaît pas suffisant, ce d’autant moins que les 31 correspondances ont toutes été comptabilisées de manière forfaitaire à 12 minutes. Le descriptif du contenu de chacun des courriers litigieux par le recourant ne lui est d’aucun secours, la présidente n’ayant pas eu accès à ces pièces, qui sont irrecevables dans la présente procédure de recours. Concernant l’ampleur et le motif de la déduction des mémos, ils sont également justifiés. La présidente a en effet comptabilisé toutes les opérations où il y avait à la même date un lettre envoyée à X.________ concomitante avec un courrier ou un courriel venant d’un autre destinataire ou adressé à celui-ci, soit les opérations des 5, 19 octobre, 2, 15, 16 novembre, 1 er , 2, 13, 15 décembre 2021, 27 janvier, 3 mars, 6 avril, 17, 24 mai, 20 juin, 4, 21 juillet, 5, 11 août, 27 septembre, 7 novembre, 15 décembre 2022, 5, 9 janvier, 10 février, 14, 25, 31 août, 11 octobre, 1 er novembre et 6 décembre 2023. S’agissant de leur nombre, sur les 15 pages que comporte la liste des opérations, on voit déjà que ces opérations sont exagérées et doivent être réduites. On relèvera que ce n’est pas parce qu’un avocat décide d’informer systématiquement sa cliente de la suite de la procédure que ces opérations doivent toutes être admises, alors qu’elles pourraient faire l’objet d’une communication regroupée et plus efficiente. Enfin, comme le recourant l’admet lui-même, sur 144 envois ( recte : 149 envois en tenant compte des courriels) à sa cliente, 58 font l’objet de mémos. Sous déduction des 31 correspondances retranchées, ce sont donc 60 correspondances qui ont été indemnisées. Ainsi, le temps pris en compte pour les opérations admises par la présidente concernant le poste relatif aux correspondances adressées par le recourant à X.________ consacre une durée raisonnable et suffisante. En définitive, le montant de l’indemnité d’office alloué en première instance doit être confirmé.</w:t>
      </w:r>
    </w:p>
    <w:p>
      <w:r>
        <w:rPr>
          <w:b/>
        </w:rPr>
        <w:t>E. 4</w:t>
      </w:r>
    </w:p>
    <w:p>
      <w:r>
        <w:t>Au vu de ce qui précède, le recours, manifestement infondé, doit être rejeté (art. 322 al. 1 in fine CPC) et le prononcé confirmé. Les frais judiciaires de deuxième instance, arrêtés à 100 fr. (art. 69 al. 3 et 70 al. 3 TFJC [tarif des frais judiciaires civils du 28 septembre 2010 ; BLV 270.11.5]), sont mis à la charge du recourant, qui succombe (art. 106 al. 1 CPC). ll n’y a pas matière à l’allocation de dépens de deuxième instance, aucune partie adverse n’ayant été invitée à se déterminer sur le recours. Par ces motifs, la Chambre des recours civile du Tribunal cantonal, en application de l’art. 322 al.1 CPC, prononce : I. Le recours est rejeté. II. Le prononcé est confirmé. III. Les frais judiciaires de deuxième instance, arrêtés à 100 fr., sont mis à la charge du recourant B.________. IV. L’arrêt est exécutoire. La présidente :               La greffière : Du L’arrêt qui précède, dont la rédaction a été approuvée à huis clos, est notifié à : ‑ Me B.________, ‑ Madame X.________.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