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37 vom 24. Januar 2024</w:t>
      </w:r>
    </w:p>
    <w:p>
      <w:r>
        <w:t>VD Tribunal cantonal, 2024-01-24, FR</w:t>
      </w:r>
    </w:p>
    <w:p>
      <w:r>
        <w:rPr>
          <w:b/>
        </w:rPr>
        <w:t xml:space="preserve">Quelle: </w:t>
      </w:r>
      <w:r>
        <w:t>https://mcp.opencaselaw.ch/entscheid/vd_findinfo_HC___2024___37</w:t>
      </w:r>
    </w:p>
    <w:p>
      <w:r>
        <w:t>FR: VD_FINDINFO HC / 2024 / 37 du 24 janvier 2024</w:t>
      </w:r>
    </w:p>
    <w:p>
      <w:r>
        <w:t>IT: VD_FINDINFO HC / 2024 / 37 del 24 gennaio 2024</w:t>
      </w:r>
    </w:p>
    <w:p>
      <w:pPr>
        <w:pStyle w:val="Heading2"/>
      </w:pPr>
      <w:r>
        <w:t>Regeste</w:t>
      </w:r>
    </w:p>
    <w:p>
      <w:r>
        <w:t>MODIFICATION DES CIRCONSTANCES, REJET DE LA DEMANDE, RELATIONS PERSONNELLES, DROIT DE GARDE, OBLIGATION D'ENTRETIEN, PROTECTION DE L'UNION CONJUGALE | 176 al. 3 CC, 179 CC, 273 al. 1 CC, 276 CPC (CH), 279 CPC (CH), 311 al. 1 CPC (CH), 312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 citées). Les ordonnances de mesures protectrices de l’union conjugale étant régies par la procédure sommaire (art. 271 CPC), le délai pour l’introduction de l’appel et le dépôt de la réponse est de dix jours (art. 314 al. 1 CPC). Un membre de la Cour d’appel civile statue sur les appels formés contre les décisions sur mesures provisionnelles et sur mesures protectrices de l’union conjugale (art. 84 al. 2 LOJV [loi d’organisation judiciaire du 12 décembre 1979 ; BLV 173.021]).</w:t>
      </w:r>
    </w:p>
    <w:p>
      <w:r>
        <w:rPr>
          <w:b/>
        </w:rPr>
        <w:t>E. 1.2</w:t>
      </w:r>
    </w:p>
    <w:p>
      <w:r>
        <w:t>En l’espèce, les conclusions de l’appelant portent tant sur la garde des enfants, de nature non pécuniaire, que sur les contributions d’entretien, de nature pécuniaire, de sorte que l’appel doit être considéré comme une contestation de nature non pécuniaire dans son ensemble (cf. notamment TF 5A_819/2016 du 21 février 2017 consid. 1 et les réf. citées ; Jeandin, op. cit ., ibid .). Dès lors, formé en temps utile par une partie qui dispose d’un intérêt digne de protection (art. 59 al. 2 let. a CPC),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(maximes d’office et inquisitoire illimitée).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parmi d’autres : TF 5A_635/2018 du 14 janvier 2019 consid. 5.3 ; TF 5A_760/2016 du 5 septembre 2017 consid. 4.1) ; de surcroît, le juge des mesures protectrices de l’union conjugale (art. 276 al. 1 CPC) statue en procédure sommaire, soit sur la base d’une simple vraisemblance des faits, après une administration limitée des preuves (ATF 138 III 97 consid. 3.4.2 et les réf. citées ; TF 5A_466/2019 du 25 septembre 2019 consid. 4.2), soit sur la base des justificatifs immédiatement disponibles (cf. TF 5A_617/2020 du 7 mai 2021 consid. 5.3 et les réf. citées).</w:t>
      </w:r>
    </w:p>
    <w:p>
      <w:r>
        <w:rPr>
          <w:b/>
        </w:rPr>
        <w:t>E. 2.3.1</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faits et moyens de preuve nouveaux ( nova ) en appel même si les conditions de l’art. 317 al. 1 CPC ne sont pas réunies (ATF 144 III 349 consid. 4.2.1 et les réf. citées).</w:t>
      </w:r>
    </w:p>
    <w:p>
      <w:r>
        <w:rPr>
          <w:b/>
        </w:rPr>
        <w:t>E. 2.3.2</w:t>
      </w:r>
    </w:p>
    <w:p>
      <w:r>
        <w:t>Le présent litige portant notamment sur les modalités de garde et la contribution d’entretien due aux enfants mineurs des parties, il est soumis à la maxime inquisitoire illimitée. Partant, les pièces nouvelles produites par l’appelant en appel sont recevables. Il n’en sera cependant pas tenu compte, celles-ci étant sans pertinence pour l’issue de la cause. S’agissant des nombreuses écritures, ainsi que des pièces produites postérieurement à l’audience du 5 septembre 2023 par l’appelant et alors que le président avait clos les débats, elles sont recevables dans le cadre de l’appel, de même que les faits qui s’y rapportent, dès lors qu’ils sont nouveaux – ceux-ci étant intervenus entre le début des délibérations du président et la notification de l’ordonnance querellée – et qu’ils doivent être introduits dans le cadre de l’appel (Tappy, Commentaire romand CPC, Bâle 2019, 2 e éd. [ci-après : CR-CPC], n. 11 ad art. 229). Toutefois, ces pièces nouvelles étant dépourvues de pertinence par le sort de l’appel, celles-ci, de même que les faits qui s’y rapportent, ne seront pas pris en compte dans le cadre de l’appel.</w:t>
      </w:r>
    </w:p>
    <w:p>
      <w:r>
        <w:rPr>
          <w:b/>
        </w:rPr>
        <w:t>E. 3</w:t>
      </w:r>
    </w:p>
    <w:p>
      <w:r>
        <w:t>; ATF 115 II 206 consid. 4a et 317 consid. 2), l’intérêt des parents étant relégué à l’arrière-plan (ATF 130 III 585 consid. 2.2.1 ; TF 5A_389/2022 du 29 novembre 2022 consid. 7.1 ; TF 5A_842/2020 du 14 octobre 2021 consid. 5.1). La volonté de l’enfant n’équivaut pas à l’intérêt de l’enfant. L’enfant ne peut déterminer de sa seule volonté si et à quelles conditions il veut entretenir des relations avec un parent. Selon la jurisprudence applicable en matière de relations personnelles, on doit toutefois tenir compte et respecter de plus en plus une telle volonté à mesure que l’âge de l’enfant augmente (TF 5A_463/2017 du 10 juillet 2018 consid. 4.5.5).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w:t>
      </w:r>
    </w:p>
    <w:p>
      <w:r>
        <w:rPr>
          <w:b/>
        </w:rPr>
        <w:t>E. 3.1</w:t>
      </w:r>
    </w:p>
    <w:p>
      <w:r>
        <w:t>; TF 5A_450/2016 du 4 octobre 2016 consid. 4.3.1 et les réf. citées).</w:t>
      </w:r>
    </w:p>
    <w:p>
      <w:r>
        <w:rPr>
          <w:b/>
        </w:rPr>
        <w:t>E. 3.2.1</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pp. 511 ss [cité ci-après : Message],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 e éd. 2017, n. 10 ad art. 298 CC ; Message, n. 1.6.2, p. 546 s.). En matière d’attribution des droits parentaux, le bien de l’enfant constitue la règle fondamentale (ATF 141 III 328 consid. 5.4), les intérêts des parents devant être relégués au second plan (ATF 142 III 617 précité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précité consid. 3.2.3 ; TF 5A_794/2017 du 7 février 2018 consid.</w:t>
      </w:r>
    </w:p>
    <w:p>
      <w:r>
        <w:rPr>
          <w:b/>
        </w:rPr>
        <w:t>E. 3.2.2</w:t>
      </w:r>
    </w:p>
    <w:p>
      <w:r>
        <w:t>L’art. 273 al. 1 CC prévoit que le père ou la mère qui ne détient pas l’autorité parentale ou la garde ainsi que l’enfant mineur ont réciproquement le droit d’entretenir les relations personnelles indiquées par les circonstances. L’importance et le mode d’exercice de ces relations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w:t>
      </w:r>
    </w:p>
    <w:p>
      <w:r>
        <w:rPr>
          <w:b/>
        </w:rPr>
        <w:t>E. 3.2.3</w:t>
      </w:r>
    </w:p>
    <w:p>
      <w:r>
        <w:t>Aux termes de l’art. 157 CPC, le tribunal établit sa conviction par une libre appréciation des preuves administrées. Parmi celles-ci sont admissibles les témoignages (art. 168 al. 1 let. a CPC et art. 169 CPC), ainsi que l’interrogatoire et la déposition de partie (art. 168 al. 1 let. f et art. 191 CPC). Le juge peut s’écarter des conclusions d’un rapport sur la situation familiale établi par un tel service de protection de l’enfance à des conditions moins strictes que celles applicables lorsqu’il s’agit d’une expertise judiciaire (TF 5A_373/2018 du 8 avril 2019 consid. 3.2.6 ; TF 5A_794/2017 précité consid. 4.1).</w:t>
      </w:r>
    </w:p>
    <w:p>
      <w:r>
        <w:rPr>
          <w:b/>
        </w:rPr>
        <w:t>E. 3.3</w:t>
      </w:r>
    </w:p>
    <w:p>
      <w:r>
        <w:t>Comme l’a rappelé le premier juge, lors de l’audience du 28 novembre 2022, les parties sont convenues de confier la garde des enfants à leur mère et de fixer un droit de visite en faveur de l’appelant, jusqu’à la reddition du rapport d’évaluation de l’UEMS. Dans son rapport du 22 juin 2023, l’UEMS a notamment préconisé de maintenir la garde de fait à la mère et d’ordonner la mise en œuvre d’une expertise pédopsychiatrique. En l’état, aucun élément du dossier ne permet de remettre en doute la pertinence des propositions de l’UEMS. En effet, cette unité est la mieux à même de proposer des modalités de garde, dès lors qu’elle a pris contact avec les parents et les différents intervenants qui s’occupent des enfants. Elle a d’ailleurs pu voir les enfants tant chez leur mère, que chez leur père. Même si l’UEMS a notamment relevé que l’intimée était souvent absente et que la responsabilité du quotidien incombait alors aux enfants, la garde des enfants est depuis plusieurs mois assurée par l’intimée, laquelle est le parent de référence et l’interlocutrice des différents intervenants (crèche/UAPE/école/pédiatre). L’intimée va également bénéficier du soutien d’une assistante sociale dans le cadre de la curatelle, au sens de l’art. 308 al. 1 et 2 CC, qui a été mise en place, et se montre collaborante. L’UEMS a également indiqué dans son rapport que son inquiétude se portait sur l’état de santé physique de l’appelant et de l’incidence que cela avait sur son état de santé psychique, même si celui-ci démontrait une bonne connaissance de ses enfants et de leurs caractères. Il ne peut dès lors être retenu, comme le soutient à tort l’appelant, qu’une analyse dudit rapport démontrerait qu’il ne serait pas convenable et contraire au bien-être des enfants de maintenir une garde exclusive auprès de l’intimée et d’exclure l’appelant de l’encadrement des enfants en ne lui accordant qu’un simple droit de visite. Si l’UEMS avait voulu l’instauration d’une garde alternée, elle l’aurait clairement proposée au premier juge, ce qui n’est toutefois pas le cas. Il est en outre relevé que le souhait des enfants de voir davantage leur père a été pris en compte dans le cadre des modalités du droit de visite, telles que fixées par le premier juge. Enfin, le fait que l’appelant soit actuellement sans emploi et disposerait de plus de temps pour s’occuper de ses enfants est sans pertinence, dès lors qu’il est de son devoir de retrouver rapidement un travail, afin de contribuer à l’entretien de sa famille. Au vu de ce qui précède et dans la mesure où les enfants des parties ont besoin de stabilité, l’intérêt des enfants commande le statu quo dans l’attente du rapport de l’expertise pédopsychiatrique. Il ne convient au demeurant pas de déterminer ici quelle partie mènerait une campagne de dénigrement à l’encontre de l’autre, étant rappelé que chaque parent est tenu de favoriser le lien parent-enfant et de protéger les enfants du conflit parental patent. Les griefs invoqués par l’appelant doivent ainsi être rejetés et la décision d’attribuer la garde des enfants à l’intimée et de fixer un droit de visite à l’appelant doit être confirmée.</w:t>
      </w:r>
    </w:p>
    <w:p>
      <w:r>
        <w:rPr>
          <w:b/>
        </w:rPr>
        <w:t>E. 4.1</w:t>
      </w:r>
    </w:p>
    <w:p>
      <w:r>
        <w:t>; TF 5A_608/2014 du 16 décembre 2014 consid. 4.2.1 ; TF 5A_2/2013 consid. 4.2, in FamPra.ch 2013 p. 769). Le juge ne ratifiera ainsi les accords des parents que s’ils sont compatibles avec le bien de l’enfant (cf. TF 5A_1031/2019, loc. cit .). Pour s’en assurer,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bornes. La maxime inquisitoire illimitée trouve ses limites dans l’obligation des parties de collaborer à l’administration des preuves (TF 5A_695/2020 du 26 avril 2021 consid. 3.3 ; TF 5A_522/2020 du 26 janvier 2021 consid. 7.1). Elle ne dispense donc pas les parties de collaborer activement à la procédure, de renseigner le juge sur les faits de la cause et de lui indiquer les moyens de preuve disponibles (ATF 140 III 485 précité consid. 3.3 ; TF 5A_635/2018 précité consid. 5.3 ; TF 5A_874/2016 du 26 avril 2017 consid. 4.1). Cette maxime n’oblige donc pas le juge à recueillir d’office tous les éléments susceptibles d’influer sur la réglementation concernant les enfants (TF 5A_874/2016 précité consid. 4.3 ; TF 5A_808/2012 du 29 août 2013 consid. 4.3.2). Il convient, de manière générale, de ne pas s’écarter sans raisons sérieuses de solutions qui rencontrent l’agrément des deux parents (TF 5A_980/2018 du 5 juin 2019 consid. 4.1 ; TF 5A_433/2017, loc. cit. ; TF 5A_43/2016 précité consid. 3.2).</w:t>
      </w:r>
    </w:p>
    <w:p>
      <w:r>
        <w:rPr>
          <w:b/>
        </w:rPr>
        <w:t>E. 4.2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précité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w:t>
      </w:r>
    </w:p>
    <w:p>
      <w:r>
        <w:rPr>
          <w:b/>
        </w:rPr>
        <w:t>E. 4.3.1</w:t>
      </w:r>
    </w:p>
    <w:p>
      <w:r>
        <w:t>Dans le cadre d’une procédure de mesures protectrices de l’union conjugale, les parties peuvent conclure un accord tendant à régler les effets de leur séparation, soumis à ratification (ATF 142 III 518 consid. 2.5 ; TF 5A_30/2019 du 8 mai 2019 consid. 3.2.1), aux conditions de l’art. 279 al. 1 CPC, appliqué par analogie (TF 5A_1031/2019 du 26 juin 2020 consid. 2.2, in FamPra.ch 2020 p. 1016). Selon cette disposition, le juge ratifie la convention après s’être assuré que les parties l’ont conclue après mûre réflexion et de leur plein gré, qu’elle est claire et complète et qu’elle n’est pas manifestement inéquitable.</w:t>
      </w:r>
    </w:p>
    <w:p>
      <w:r>
        <w:rPr>
          <w:b/>
        </w:rPr>
        <w:t>E. 4.3.2</w:t>
      </w:r>
    </w:p>
    <w:p>
      <w:r>
        <w:t>S’agissant du premier critère de l’art. 279 al. 1 CPC, le juge doit avant tout contrôler que les parties ont compris les dispositions de leur convention ainsi que les conséquences qu’elles impliquent et veiller notamment à ce que la convention n’ait pas été conclue dans la précipitation ou acceptée par lassitude (TF 5A_772/2014 du 17 mars 2015 consid. 5.1 ; TF 5A_187/2013 du 4 octobre 2013 consid. 6.1). La condition du plein gré présuppose que les parties n’aient conclu leur convention ni sous l’emprise d’une erreur (art. 23 ss CO), ni sous celle du dol (art. 28 CO) ou de la crainte fondée (art. 29 s. CO) (TF 5A_683/2014 du 18 mars 2015 consid. 6.1 et les réf. citées). Elle n’oblige toutefois pas le juge à rechercher des vices du consentement cachés, la partie victime d’un vice du consentement supportant le fardeau de l’allégation et le fardeau de la preuve de ce vice (art. 8 CC ; TF 5A_74/2014 du 5 août 2014 consid. 4.1 et les réf. citées). Le juge doit en outre s’assurer que les parties ont conclu la convention de leur plein gré, c’est-à-dire qu’ils ont formé librement leur volonté et qu’ils l’ont communiquée librement. Le consentement exempt de vices au sens du droit des obligation ne correspond pas totalement au consentement donné après mûre réflexion et du plein gré de la personne concernée, le second devant être examiné de manière moins restrictive par le juge du divorce, respectivement des mesures protectrices de l’union conjugale (cf. not. TF 5A_772/2014, loc. cit. ; TF 5A_721/2012 du 17 janvier 2013 consid. 3.3.2).</w:t>
      </w:r>
    </w:p>
    <w:p>
      <w:r>
        <w:rPr>
          <w:b/>
        </w:rPr>
        <w:t>E. 4.3.3</w:t>
      </w:r>
    </w:p>
    <w:p>
      <w:r>
        <w:t>En ce qui concerne le deuxième critère il faut, pour juger du caractère équitable ou non de la convention, la comparer avec le jugement qui aurait été rendu en l’absence d’accord.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les réf. citées ; TF 5A_43/2016 du 30 janvier 2017 consid. 3.1 et 3.2, in FamPra.ch 2017 p. 546). L’exigence que la convention ne soit pas manifestement inéquitable ne concerne toutefois pas les accords concernant des questions relatives à des enfants, pour lesquelles le juge dispose de pouvoirs plus étendus en vertu de l’art. 296 al. 1 CPC, lequel prévoit une maxime inquisitoire illimitée en ce qui concerne ces questions dans toutes les affaires de droit de la famille (TF 5A_885/2017 du 11 avril 2018 consid. 4.3.2 ; TF 5A_760/2016 précité consid.</w:t>
      </w:r>
    </w:p>
    <w:p>
      <w:r>
        <w:rPr>
          <w:b/>
        </w:rPr>
        <w:t>E. 4.4.1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publié in FamPra.ch 2011 p. 993 ; TF 5A_562/2013 du 24 octobre 2013 consid. 3.1). Selon la jurisprudence, l’art. 179 al. 1, 2 e phrase, CC renvoie notamment à l’art. 134 al. 2 CC (modification des autres droits et devoirs des père et mère en cas de divorce), en relation avec les art. 276 ss CC (obligation d’entretien des père et mère) et plus précisément l’art. 286 CC s’agissant de la modification de la contribution d’entretien de l’enfant (ATF 143 III 392 consid. 2.7.2 ; TF 5A_1035/2021 du 2 août 2022 consid. 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JdT 2020 II 190 ; ATF 141 III 376 consid. 3.3.1 ; TF 5A_501/2018 du 22 novembre 2018 consid. 2 ; TF 5A_253/2020 du 25 mars 2021 consid. 3.1.1, FamPra.ch 2021 p. 798 ; TF 5A_895/2021 du 6 janvier 2022 consid. 5 ; TF 5A_1035/2021 précité consid. 3).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unique CACI 24 septembre 2015/504 et les réf. citées). La partie requérante doit fonder sa demande en modification sur de vrais nova (ATF 143 III 42 consid. 5.2-5.3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précité consid. 5.2 ; TF 5A_18/2016 du 24 novembre 2016 consid. 2.5 ; TF 5A_436/2020 du 5 février 2021 consid. 4.2). En d’autres termes, la voie de la modification est ouverte soit lorsque le fait allégué est un vrai nova , soit lorsqu’il constitue un pseudo nova , mais que le moyen de preuve apte à l’établir est un vrai nova (TF 5A_154/2019 du 1 er octobre 2019 consid. 4.1, FamPra ch. 2020 p. 177). Par ailleurs, lorsqu’il s’agit d’invoquer des pseudo nova qui ne pouvaient être présentés avant le début des délibérations d’appel, seule la voie de la révision est ouverte (art. 328 al. 1 CPC ; ATF 143 III 42 précité consid. 5.2-5.3 ; TF 5A_42/2019 précité consid. 3.2), sous réserve du cas dans lequel le moyen de preuve apte à établir le fait invoqué est un vrai nova (TF 5A_154/2019 précité consid. 4.1, FamPra.ch 2020 p. 177).</w:t>
      </w:r>
    </w:p>
    <w:p>
      <w:r>
        <w:rPr>
          <w:b/>
        </w:rPr>
        <w:t>E. 4.4.2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précité consid. 2.6.1, cf. Immele- de Weck, Modification d’une convention entre époux en mesures protectrices et provisionnelles : cherchez l’erreur, Newsletter Droit matrimonial, été 2016). On présumera néanmoins que la contribution d’entretien a été fixée en tenant compte des modifications prévisibles, soit celles qui, bien que futures, sont déjà certaines ou fort probables (Juge unique CACI 2 août 2021/375 : fixation d’une contribution d’entretien à quelques mois de la majorité de l’enfant).</w:t>
      </w:r>
    </w:p>
    <w:p>
      <w:r>
        <w:rPr>
          <w:b/>
        </w:rPr>
        <w:t>E. 4.5.1</w:t>
      </w:r>
    </w:p>
    <w:p>
      <w:r>
        <w:t>L’appelant se prévaut tout d’abord d’un prétendu vice du consentement au sens des art. 23ss CO et allègue avoir été victime d’une erreur essentielle au sujet des éléments qui aurait été discutés et convenus lors de l’audience de mesures protectrices de l’union conjugale du 28 novembre 2022, sans toutefois motiver davantage son grief. Le moyen de l’appelant, portant sur sa compréhension de la portée de ses engagements, est infondé. D’une part, il était assisté d’un avocat lors de cette audience, laquelle a duré presque deux heures. L’avocat en question avait rédigé la réponse du 12 octobre 2022 au nom et pour le compte de l’appelant. C’est dire que celui-ci avait pu méditer sa position en étant dûment conseillé avant de signer la convention querellée, étant rappelé que l’intéressé a en outre bénéficié d’une suspension d’audience pour s’entretenir seul à seul avec son avocat. D’autre part, il ne peut échapper à une partie à un procès, qui plus est assistée d’un mandataire professionnel, qu’une audience de mesures protectrices de l’union conjugale se solde en principe soit par la conclusion d’une convention soit par la reddition d’une décision, et que si une convention est signée, c’est pour qu’elle soit ratifiée et munie de l’autorité de la chose jugée, en remplacement de la décision qui aurait à défaut été rendue d’autorité. Aucun élément ne permet en définitive de retenir que l’appelant n’avait pas compris ce à quoi il s’engageait en signant la convention litigieuse ou que son avocat ne lui en avait pas exposé la portée, à supposer que l’intéressé ne l’eût pas entièrement saisie lui ‑ même. En définitive, on ne discerne pas en quoi le premier juge aurait violé la maxime d’office en ratifiant la convention, ni en quoi il aurait méconnu ou mésusé de son devoir de vérification. Les calculs ont été effectués avec les parties, en présence de leurs conseils, et le président a pris en compte le fait que la garde des enfants était attribuée à leur mère et que leur entretien convenable était intégralement couvert par le montant desdites pensions. Il n’apparaît dès lors pas que la convention serait inéquitable et elle est en tous les cas conforme à l’intérêt des enfants mineurs concernés. Le grief invoqué par l’appelant doit ainsi être rejeté, dans la mesure de sa recevabilité.</w:t>
      </w:r>
    </w:p>
    <w:p>
      <w:r>
        <w:rPr>
          <w:b/>
        </w:rPr>
        <w:t>E. 4.5.2</w:t>
      </w:r>
    </w:p>
    <w:p>
      <w:r>
        <w:t>L’appelant soutient que ce serait à tort qu’une contribution de prise en charge par 424 fr. 25 par enfant aurait été retenue, en sus de leurs coûts directs, pour fixer le montant des contributions d’entretien lors de l’audience du 28 novembre 2022. Même s’il est relevé que, dans la mesure où l’intimée travaille à 100 %, aucune contribution de prise en charge ne doit être ajoutée aux coûts directs des enfants, il faut constater que ce montant de 424 fr. 25 par enfant représente le manco mensuel de l’intimée, lequel doit toutefois être couvert par le disponible mensuel de l’appelant. Dans ces circonstances, les pensions des enfants devraient être réduites de 424 fr. 25 chacune et celle de l’intimée augmentée de 1’272 fr. 75 (3 x 424 fr. 75), pour un résultat arithmétiquement nul. Il ne se justifie donc pas de modifier lesdites pensions, le résultat étant in fine le même et n’étant ainsi pas manifestement inéquitable. Le grief invoqué par l’appelant doit être rejeté.</w:t>
      </w:r>
    </w:p>
    <w:p>
      <w:r>
        <w:rPr>
          <w:b/>
        </w:rPr>
        <w:t>E. 4.5.3</w:t>
      </w:r>
    </w:p>
    <w:p>
      <w:r>
        <w:t>Dans la mesure où la convention signée par les parties le 28 novembre 2022, laquelle a été ratifiée par le président pour valoir ordonnance de mesures protectrices de l’union conjugale, ne comporte aucun vice de consentement, il convient de déterminer s’il existe des éléments nouveaux – soit dans les revenus, soit dans les charges des parties ou de leurs enfants – qui sont à même d’avoir une incidence sur le montant desdites pensions, indépendamment du fait que les pensions aient été ou non fixées « dans l’attente de la reddition du rapport d’évaluation de l’UEMS ».</w:t>
      </w:r>
    </w:p>
    <w:p>
      <w:r>
        <w:rPr>
          <w:b/>
        </w:rPr>
        <w:t>E. 4.6.1</w:t>
      </w:r>
    </w:p>
    <w:p>
      <w:r>
        <w:t>L’appelant prétend que les pensions alimentaires devraient être réduites, en raison de son licenciement avec effet immédiat intervenu le 6 novembre 2023. En l’espèce, il ne se justifie pas de tenir compte du licenciement de l’appelant. En effet, rien n’indique qu’il ne pourra pas bénéficier des indemnités de l’assurance-chômage. Par ailleurs, outre que la circonstance du licenciement prend formellement effet au-delà de la date à laquelle la décision attaquée a été rendue, il ne se justifie de tenir compte du chômage du débirentier que lorsque la période de chômage atteint une certaine durée, que la jurisprudence fixe en l’occurrence à quatre mois au moins (TF 5P.445/2004 du 9 mars 2005 consid. 2.3). Dans tous les cas, la question de savoir si la période de chômage est durable dépend des circonstances concrètes de chaque cas d’espèce, en particulier de la situation économique (TF 5A_217/2009 du 30 octobre 2009 consid. 3.2). Avant de savoir si le chômage auquel l’appelant est exposé est de longue durée, la modification de la contribution d’entretien ne s’impose pas. Le cas échéant, il appartiendra à l’appelant d’invoquer cette circonstance à titre de modification substantielle et durable de ses revenus impliquant la modification de la contribution d’entretien fixée dans le cadre des mesures protectrices de l’union conjugale. Le grief, mal fondé, doit être rejeté.</w:t>
      </w:r>
    </w:p>
    <w:p>
      <w:r>
        <w:rPr>
          <w:b/>
        </w:rPr>
        <w:t>E. 4.6.2</w:t>
      </w:r>
    </w:p>
    <w:p>
      <w:r>
        <w:t>L’appelant soutient que sa charge d’impôt et ses frais médicaux auraient été sous-évalués lors de l’audience du 28 novembre 2022. S’agissant de sa charge d’impôt, celle-ci a été arrêtée à 600 fr. par mois lors de l’audience du 28 novembre 2022. Les pièces produites en première instance, à savoir les preuves de paiement des acomptes, démontrent que l’appelant payait la somme de 635 fr. 70 par mois en 2023. Toutefois, il ne s’agit que d’acomptes 2023 et l’appelant n’a pas produit sa déclaration d’impôt 2022 ou 2023, laquelle aurait pu attester d’une prétendue augmentation. Au demeurant, dans son appel, l’appelant n’a pas expliqué comment cette charge avait été calculée en 2022. Rien ne justifie dès lors, faute de motivation, de retenir à ce titre un montant de 650 fr. dans son budget mensuel. Concernant ses frais médicaux, ceux-ci ont été arrêtés à 266 fr. 65 lors de l’audience du 38 novembre 2022. L’appelant prétend qu’ils devraient être arrêtés à 500 fr. par mois. A l’appui de ses dires, il fait référence aux pièces produites dans son courrier du 19 octobre 2023, à savoir un décompte du 17 juillet 2023 de prestations de son assurance-maladie obligatoire totalisant 926 fr. 10 et une facture de médecin de 151 fr. 60, ainsi que celles produites à l’appui de son courrier du 30 octobre 2023, soit ses relevés bancaires des mois d’août et de septembre 2023. Il ne ressort toutefois pas de ces pièces que ses frais médicaux s’élèveraient à 500 fr. par mois. En effet, on ignore, d’une part, le montant de la franchise mensuelle de l’appelant et, d’autre part, les montants qui ont effectivement été mis à sa charge. A cela s’ajoute que l’appelant n’a pas expliqué comment le montant de 266 fr. 65 avait été calculé lors de l’audience du 28 novembre 2022 et il n’a pas motivé, que ce soit en première ou en deuxième instance, les raisons pour lesquelles ses frais médicaux devraient être retenus à hauteur de 500 fr. par mois. Il ne justifie dès lors en rien de frais médicaux supérieurs et ne démontre d’ailleurs pas qu’il serait atteint d’une maladie qui l’obligerait à suivre un traitement sur une longue période et avec des coûts élevés et réguliers. Faute de motivation à ce titre, il n’y a pas lieu de retenir la somme de 500 fr. dans son budget mensuel.</w:t>
      </w:r>
    </w:p>
    <w:p>
      <w:r>
        <w:rPr>
          <w:b/>
        </w:rPr>
        <w:t>E. 4.6.3</w:t>
      </w:r>
    </w:p>
    <w:p>
      <w:r>
        <w:t>L’appelant relève ensuite que rien ne justifierait que l’intimée perçoive une pension alimentaire, sans motiver son grief. Faute de motivation à ce titre, celui-ci doit être déclaré irrecevable.</w:t>
      </w:r>
    </w:p>
    <w:p>
      <w:r>
        <w:rPr>
          <w:b/>
        </w:rPr>
        <w:t>E. 4.6.4</w:t>
      </w:r>
    </w:p>
    <w:p>
      <w:r>
        <w:t>L’appelant soutient enfin que l’intimée vivrait en concubinage et formerait une communauté domestique avec son nouvel ami. A l’appui de ses dires, il a produit des photographies qui auraient été prises le 20 novembre 2023 au domicile de l’intimée. Il s’agit de quelques produits de douche, d’une veste, de quelques habits et d’une cigarette électronique. Il est relevé qu’on ignore toutefois dans quelles circonstances et à quelle date ont été prises ces photographies, ainsi que si elles proviennent véritablement du domicile de l’intimée. En tout état de cause, s’ils attestent d’une présence masculine au domicile de l’intimée, ils ne suffisent pas à rendre vraisemblable une présence durable assimilable à un concubinage simple. A défaut d’éléments probants, il ne convient pas de retenir une éventuelle communauté de vie. Le grief invoqué par l’appelant doit donc être rejeté.</w:t>
      </w:r>
    </w:p>
    <w:p>
      <w:r>
        <w:rPr>
          <w:b/>
        </w:rPr>
        <w:t>E. 4.7</w:t>
      </w:r>
    </w:p>
    <w:p>
      <w:r>
        <w:t>Dans la mesure où aucun élément nouveau n’est de nature à modifier le montant des pensions alimentaires, il ne convient pas de modifier l’avis aux débiteurs ordonné par le premier juge.</w:t>
      </w:r>
    </w:p>
    <w:p>
      <w:r>
        <w:rPr>
          <w:b/>
        </w:rPr>
        <w:t>E. 5.1</w:t>
      </w:r>
    </w:p>
    <w:p>
      <w:r>
        <w:t>En définitive, l’appel doit être rejeté, dans la mesure où il est recevable, selon le mode procédural de l’art. 312 al. 1 CPC, et l’ordonnance entreprise confirmée. L’appel était dénué de chance de succès au sens de l’art. 117 let. b CPC. Le bénéfice de l’assistance judiciaire doit donc être refusé à l’appelant. Les frais judiciaires de deuxième instance doivent être arrêtés à 1’200 fr. (art. 65 al. 2 et 4 TFJC [tarif des frais judiciaires civils du 28 septembre 2010 ; BLV 270.11.5]). Ils seront mis à la charge de l’appelant, qui succombe (art. 106 al. 1 CPC). Il n’est pas alloué de dépens, l’intimée n’ayant pas été invitée à se déterminer. Par ces motifs, la Juge unique de la Cour d’appel civile prononce : I. L’appel est rejeté, dans la mesure où il est recevable. II. L’ordonnance est confirmée. III. La requête d’assistance judiciaire est rejetée. IV. Les frais judiciaires de deuxième instance, arrêtés à 1’200 fr. (mille deux cents francs), sont mis à la charge de l’appelant A.W.________. V. L’arrêt est exécutoire La juge unique :               La greffière : Du Le présent arrêt, dont la rédaction a été approuvée à huis clos, est notifié en expédition complète à : ‑ Me Alexandre de Candia, avocat (pour A.W.________), ‑ Me Marina Kilchenmann, avocate (pour B.W.________), et communiqué, par l’envoi de photocopies, à : ‑ M. le Président du Tribunal civil de l’arrondissement de La Broye et du Nord vaudois, - O.________, assistante sociale pour la protection des mineurs auprès de l’Office régional de protection des mineurs Couronne et Gros-de-Vaud.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