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359 vom 22. Mai 2024</w:t>
      </w:r>
    </w:p>
    <w:p>
      <w:r>
        <w:t>VD Tribunal cantonal, 2024-05-22, FR</w:t>
      </w:r>
    </w:p>
    <w:p>
      <w:r>
        <w:rPr>
          <w:b/>
        </w:rPr>
        <w:t xml:space="preserve">Quelle: </w:t>
      </w:r>
      <w:r>
        <w:t>https://mcp.opencaselaw.ch/entscheid/vd_findinfo_HC___2024___359</w:t>
      </w:r>
    </w:p>
    <w:p>
      <w:r>
        <w:t>FR: VD_FINDINFO HC / 2024 / 359 du 22 mai 2024</w:t>
      </w:r>
    </w:p>
    <w:p>
      <w:r>
        <w:t>IT: VD_FINDINFO HC / 2024 / 359 del 22 maggio 2024</w:t>
      </w:r>
    </w:p>
    <w:p>
      <w:pPr>
        <w:pStyle w:val="Heading2"/>
      </w:pPr>
      <w:r>
        <w:t>Regeste</w:t>
      </w:r>
    </w:p>
    <w:p>
      <w:r>
        <w:t>ADMISSION DE LA DEMANDE, HYPOTHÈQUE LÉGALE DES ARTISANS ET ENTREPRENEURS, MESURE PROVISIONNELLE, BÉTON | 837 al. 1 ch. 3 CC, 839 CC</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En l’espèce, déposé en temps utile par une partie qui a un intérêt digne de protection (art. 59 al. 2 let. a CPC), contre une ordonnance de mesures provisionnelles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En matière de mesures provisionnelles (art. 261 CPC), la cognition du juge est limitée à la simple vraisemblance des faits et à un examen sommaire du droit, en se fondant sur les moyens de preuve immédiatement disponibles (ATF 139 III 86 consid. 4.2 ; ATF 138 III 636 consid. 4.3.2).</w:t>
      </w:r>
    </w:p>
    <w:p>
      <w:r>
        <w:rPr>
          <w:b/>
        </w:rPr>
        <w:t>E. 3.1</w:t>
      </w:r>
    </w:p>
    <w:p>
      <w:r>
        <w:t>Invoquant une constatation inexacte des faits, l’appelante reproche au premier juge d’avoir retenu que l’intimée avait rendu suffisamment vraisemblable que toutes les livraisons de béton avaient été faites sur la parcelle RF n° [...] sise [...]. Elle se prévaut de l’absence de précision dans l’état de fait que certains bons de livraison portaient mention d’une adresse différente de celle du chantier de l’appelante et que seuls deux bons sur cinq auraient été rectifiés. Elle soutient qu’il n’a pas été démontré que les rectifications avaient été faites par le chauffeur le jour même de la livraison. Ces griefs relevant en réalité de l’appréciation des preuves, ils seront traités ci-après en même temps que les griefs relatifs à la violation du droit. A cet égard, l’appelante fait valoir qu’il n’existe aucun lien entre elle-même et C.________ Sàrl, dont elle ignorerait l’existence, dès lors que c’est B.________ SA qu’elle aurait mandatée pour les travaux sur sa parcelle et qu’elle n’aurait pas connaissance de l’existence d’un rapport de sous-traitance. Elle conteste également que les factures produites par l’intimée forment une unité fonctionnelle, de sorte que l’inscription provisoire portant sur les factures nos 151391, 155882, 151686, 151829 et 152049 serait tardive. Enfin, selon l’appelante, le premier juge aurait dû constater que le poste relatif à l’annulation d’une commande, à hauteur de 1'550 fr. hors taxe, ne justifiait pas l’inscription d’une hypothèque légale, « sa cause étant différente ».</w:t>
      </w:r>
    </w:p>
    <w:p>
      <w:r>
        <w:rPr>
          <w:b/>
        </w:rPr>
        <w:t>E. 3.2.1</w:t>
      </w:r>
    </w:p>
    <w:p>
      <w:r>
        <w:t>Selon l'art. 837 al. 1 ch. 3 CC (Code civil suisse du 10 décembre 1907 ; RS 210),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5A_395/2020 du 16 mars 2021 consid. 2 ; TF 5A_518/2020 du 22 octobre 2020 consid. 3.1 et réf. cit.).</w:t>
      </w:r>
    </w:p>
    <w:p>
      <w:r>
        <w:rPr>
          <w:b/>
        </w:rPr>
        <w:t>E. 3.2.2</w:t>
      </w:r>
    </w:p>
    <w:p>
      <w:r>
        <w:t>Conformément à l'art. 961 al. 3 CC, le juge autorise l'inscription provisoire si le droit allégué lui paraît exister. 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(Juge unique CACI 5 octobre 2023/403 consid. 3.2.2 ; Juge unique CACI 1 er juillet 2022/344 consid. 4.3.2.2 ; Juge unique CACI 1 er novembre 2021/515 consid. 3.2.3). Ainsi, selon la doctrine dominante et la jurisprudence, l'inscription provisoire ne doit être refusée que lorsque l'existence du droit à l'hypothèque des artisans et entrepreneurs apparaît exclue ou hautement invraisemblable. En présence d'une situation de fait ou de droit mal élucidée méritant un examen plus ample que celui auquel il peut être procédé dans le cadre d'une instruction sommaire, il convient bien plutôt de laisser au juge du fond le soin de décider si le droit à l'hypothèque doit en définitive être admis. Lorsque les conditions de l'inscription sont incertaines, il en résulte que le juge commet l’arbitraire s'il la refuse. En d’autres termes, à moins que le droit à la constitution de l'hypothèque n'existe clairement pas, le juge qui en est requis doit donc ordonner l'inscription provisoire (ATF 102 Ia 81 consid. 2b/b ; ATF 86 I 265 consid. 3 ; TF 5A_395/2020 précité consid. 2 ; TF 5A_1016/2015 du 15 septembre 2016 consid. 5.3 ; TF 5A_426/2015 du 8 octobre 2015 consid. 3.4 ; TF 5A_932/2014 du 16 avril 2015 consid. 3.3.2 ; Juge unique CACI 15 mai 2021/232 consid. 3.1.3, in : JdT 2021 III 107). On ne peut cependant comprendre la jurisprudence précitée en ce sens qu’une hypothèque légale devrait être inscrite à titre provisionnel sur simple demande. Il faut au moins que l’existence des travaux prétendus soit rendue vraisemblable. A cette condition, et dans un deuxième temps, ce n’est que lorsque le droit à l’inscription est clairement exclu, par exemple parce que la requête est manifestement tardive, que le juge refusera l’inscription (Juge unique CACI 15 mai 2021/232 précité).</w:t>
      </w:r>
    </w:p>
    <w:p>
      <w:r>
        <w:rPr>
          <w:b/>
        </w:rPr>
        <w:t>E. 3.3</w:t>
      </w:r>
    </w:p>
    <w:p>
      <w:r>
        <w:t>En l’espèce, s’agissant tout d’abord de la personne qui a commandé les livraisons successives de béton frais dont se prévaut l’intimée, il y a lieu de relever que les sociétés B.________ SA et C.________ Sàrl sont dirigées par le même administrateur, respectivement gérant, soit L.________, de sorte que l’on ne saurait exclure que l’entrepreneur ait contribué à créer une certaine confusion. En tout état de cause, les sous-traitants ont qualité pour requérir l’inscription d’une hypothèque légale (ATF 105 II 264 consid. 2 ; TF 5A_282/2016 du 17 janvier 2017 consid. 3.2.2). Or l’appelante ne prétend pas que l’interdiction de la sous-traitance aurait prévalu et qu’elle aurait été portée à la connaissance de l’intimée, qui n’avait donc aucune raison de se méfier et de ne pas honorer les commandes passées. Il n’importe donc pas de savoir qui de B.________ SA ou C.________ Sàrl a commandé les livraisons de béton frais, ni que l'intimée soit une sous-traitante sans lien de droit avec l’appelante, ni même que cela ait été commis à l'insu de celle-ci. Ce grief, au stade de l’inscription provisoire, n’est donc pas pertinent. L’appelante tire argument du fait que les factures sont assorties de bons de livraison qui, pour certains, portent mention d’une autre adresse ([...]) pour nier l’inscription requise. En premier lieu, on relèvera que ces bons de livraison portent sur les quantités exactement décomptées dans les factures invoquées par l’intimée. En second lieu, le représentant de l’intimée s’en est expliqué à l’audience, disant que l’indication du [...] résultait d’une erreur dans le logiciel éditant les bons de livraison et qu’elle avait été rectifiée, mais aussi et surtout, qu’aucun béton frais n’avait été livré au [...], précisant que ses camions étaient géolocalisés. La déclaration de partie étant un moyen de preuve, dont la force probante est tributaire du résultat de l’appréciation des preuves dans son ensemble, on doit ici constater que ces déclarations sont à la fois précises et corroborées par le fait que les bons de livraison portent précisément sur les quantités facturées, de sorte que le risque d’erreur de facturation est vraisemblablement inexistant. A cela s’ajoute que l’intimée a précisé que la géolocalisation assurait la vérification du lieu de livraison, assertion qui ne saurait être faite à la légère vu le moyen de la contrôler. Enfin, les factures et l’extrait de compte présentant le solde débiteur au nom de C.________ Sàrl comportent la mention de l’adresse du chantier de l’appelante. Au stade de la vraisemblance qui prévaut en la matière, il faut constater que la requérante et intimée à l’appel a rendu suffisamment vraisemblable le fait qu’elle avait livré sur le chantier de l’appelante le béton frais facturé et objet de l'inscription de l’hypothèque légale des artisans et entrepreneurs contestée, ce qui suffit à justifier l’inscription opérée. Quant à l’argument tiré de l’absence d’unité fonctionnelle des livraisons successives de béton frais entre elles (pour le point de départ du délai de péremption), celui-ci est insoutenable au regard de la doctrine et la jurisprudence abondantes en la matière (ATF 125 III 113 consid. 3b ; ATF 111 II 343 consid. 2c ; TF 5A_689/2022 du 6 avril 2023 consid. 6.2.2 ; TF 5A_630/2021 du 26 novembre 2021 consid. 3.3.2.4). Enfin, la commande de béton frais annulée justifie également l’inscription dès lors que ce béton est inutilisable ailleurs, ce qui ressort de la décision et n’est pas critiqué valablement en fait par l’appelante. Le fait que C.________ Sàrl devrait porter la responsabilité de cette annulation n’est pas pertinent au vu de ce qui a été dit précédemment au sujet du rapport entre les sociétés C.________ Sàrl et B.________ SA (cf. premier paragraphe supra ).</w:t>
      </w:r>
    </w:p>
    <w:p>
      <w:r>
        <w:rPr>
          <w:b/>
        </w:rPr>
        <w:t>E. 4.1</w:t>
      </w:r>
    </w:p>
    <w:p>
      <w:r>
        <w:t>En définitive, l’appel, manifestement infondé (art. 312 al. 1 in fine CPC), doit être rejeté et l’ordonnance attaquée confirmée.</w:t>
      </w:r>
    </w:p>
    <w:p>
      <w:r>
        <w:rPr>
          <w:b/>
        </w:rPr>
        <w:t>E. 4.2</w:t>
      </w:r>
    </w:p>
    <w:p>
      <w:r>
        <w:t>Vu le sort de l’appel, les frais judiciaires de deuxième instance, arrêtés à 800 fr. (art. 65 al. 1 TFJC [tarif des frais judiciaires civils du 28 septembre 2010 ; BLV 270.11.5]), sont mis à la charge de l’appelante (art. 106 al. 1 CPC). Il n’y a pas lieu à l’allocation de dépens, l’intimée n’ayant pas été invitée à se déterminer. Par ces motifs, la Juge unique de la Cour d’appel civile prononce : I. L’appel est rejeté. II. L’ordonnance est confirmée. III. Les frais judiciaires de deuxième instance, arrêtés à 800 fr. (huit cents francs), sont mis à la charge de l’appelante D.________ Sàrl. IV. L’arrêt est exécutoire. La juge unique :               La greffière : Du Le présent arrêt, dont la rédaction a été approuvée à huis clos, est notifié en expédition complète à : ‑ Mme Loane Membrez (pour D.________ Sàrl), ‑ M. Christophe Savoy (pour J.________ SA), et communiqué, par l'envoi de photocopies, à : ‑ Monsieur le Président du Tribunal civil de l’arrondissement de la Broye et du Nord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