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357 vom 7. August 2024</w:t>
      </w:r>
    </w:p>
    <w:p>
      <w:r>
        <w:t>VD Tribunal cantonal, 2024-08-07, FR</w:t>
      </w:r>
    </w:p>
    <w:p>
      <w:r>
        <w:rPr>
          <w:b/>
        </w:rPr>
        <w:t xml:space="preserve">Quelle: </w:t>
      </w:r>
      <w:r>
        <w:t>https://mcp.opencaselaw.ch/entscheid/vd_findinfo_HC___2024___357</w:t>
      </w:r>
    </w:p>
    <w:p>
      <w:r>
        <w:t>FR: VD_FINDINFO HC / 2024 / 357 du 7 août 2024</w:t>
      </w:r>
    </w:p>
    <w:p>
      <w:r>
        <w:t>IT: VD_FINDINFO HC / 2024 / 357 del 7 agosto 2024</w:t>
      </w:r>
    </w:p>
    <w:p>
      <w:pPr>
        <w:pStyle w:val="Heading2"/>
      </w:pPr>
      <w:r>
        <w:t>Regeste</w:t>
      </w:r>
    </w:p>
    <w:p>
      <w:r>
        <w:t>ASSURANCE COMPLÉMENTAIRE, DROIT DES ASSURANCES, VIOLATION DE L'OBLIGATION D'ANNONCER, MAXIME INQUISITOIRE, GRATUITÉ DE LA PROCÉDURE, REJET DE LA DEMANDE | 8 CC, 4 LCA, 40 LCA, 6 LCA, 9 LCA, 114 CPC (CH), 243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au sens de l’art. 236 al. 1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Formé en temps utile par une partie disposant d’un intérêt digne de protection (art. 59 al. 2 let. a CPC) contre une décision finale rendue dans une cause patrimoniale dont la valeur litigeuse était supérieure à 10'000 fr. en première instance,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2.2</w:t>
      </w:r>
    </w:p>
    <w:p>
      <w:r>
        <w:t>En instance d’appel, la maxime inquisitoire simple, ici applicable (art. 243 al. 2 let. f CPC), ne dispense pas le recourant de motiver son appel, la motivation de l’acte de recours étant indispensable au déroulement régulier de la procédure d’appel (art. 311 al. 1 CPC). Il lui incombe de démontrer le caractère erroné de la motivation attaquée.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le recourant attaque et des pièces du dossier sur lesquelles repose sa critique. Les allégués de fait et les offres de preuves nouveaux sont irrecevables, sous réserve de l’exception prévue par l’art. 317 al. 1 CPC. Il s’ensuit que la cour cantonale peut refuser de prendre en considération un fait ou un moyen de preuve nouveau si le juge de première instance a pu l’ignorer sans méconnaître la maxime inquisitoire simple (ATF 141 III 569 consid. 2.3.3 et les réf. citées).</w:t>
      </w:r>
    </w:p>
    <w:p>
      <w:r>
        <w:rPr>
          <w:b/>
        </w:rPr>
        <w:t>E. 2.3</w:t>
      </w:r>
    </w:p>
    <w:p>
      <w:r>
        <w:t>Dans un premier temps, l’appelante fait valoir une constatation inexacte des faits, en tant que la présidente aurait considéré, à tort, que l’intimé ne souffrait d’aucune pathologie en lien avec l’incapacité de travail au moment de la signature de la proposition d’assurance par la société [...]. Elle critique en outre le fait que le jugement attaqué retienne que l’intimé n’aurait pas collaboré à la rédaction de la proposition d’assurance signée par la représentante de son employeur, qui n’est autre que sa concubine, et qu’aucune fausse déclaration ne puisse lui être imputée. L’appelante expose enfin que la présidente se serait méprise en retenant la date du 10 septembre 2018 comme étant celle où la déclaration d’incapacité de travail de l’intimé avait été établie.</w:t>
      </w:r>
    </w:p>
    <w:p>
      <w:r>
        <w:rPr>
          <w:b/>
        </w:rPr>
        <w:t>E. 2.4.1</w:t>
      </w:r>
    </w:p>
    <w:p>
      <w:r>
        <w:t>En l’occurrence, on relèvera que le jugement entrepris relate le contenu des rapports médicaux des Drs [...] et [...], sans que l’appelante se plaigne du fait qu’ils auraient été mal rapportés, ce qui n’est au demeurant pas le cas. Il ressort, à tout le moins, du rapport médical du Dr [...] que la [...] affectant l’intimé serait en relation probable avec l’infection [...] dont souffre l’intimé depuis les années [...], diagnostic par ailleurs confirmé par le neurologue de l’intimé, le Dr  [...]. Fort de ce qui précède, il n’y a pas lieu de corriger ni de compléter l’état de fait retenu en première instance. Le grief soulevé par l’appelante se rapporte en réalité à une appréciation arbitraire des preuves, qui sera examinée ci-après. Il en va de même s’agissant de la critique formulée à l’encontre de la constatation de la présidente selon laquelle il n’est pas établi que l’intimé ait collaboré de quelque manière que ce soit à l’établissement de la proposition d’assurance nonobstant ses liens personnels avec la signataire de ladite proposition.</w:t>
      </w:r>
    </w:p>
    <w:p>
      <w:r>
        <w:rPr>
          <w:b/>
        </w:rPr>
        <w:t>E. 2.4.2</w:t>
      </w:r>
    </w:p>
    <w:p>
      <w:r>
        <w:t>S’agissant de la critique formulée à l’encontre de la date de déclaration d’incapacité de travail de l’intimé, l’appelante se contente de faire une exégèse des circonstances du cas d’espèce, dont elle prétend déduire que la date retenue, soit celle du 10 septembre 2018, serait erronée. Toutefois, elle ne cite ni le passage du jugement querellé en cause, ni ne désigne précisément la pièce qui viendrait confirmer sa thèse, respectivement infirmer celle retenue par la présidente. Elle se borne en réalité à se référer à la « pièce litigieuse elle-même », laquelle semble être la « déclaration d’incapacité de travail maladie » de l’intimé, et à indiquer que la date du 10 juin 2018, telle que figurant sur ce document, n’aurait pas fait l’objet de contestation de la part des parties. On peut douter que, ce faisant, l’appelante satisfasse à son devoir de motivation, étant rappelé que l’autorité d’appel n’a pas à rechercher elle-même les éléments du dossier qui appuieraient la thèse de l’intéressée mais peut attendre des références précises à tel ou tel élément de l’instruction. Cela étant, le grief de l’appelante devrait dans tous les cas être rejeté, de sorte qu’une correction de l’état de fait n’a pas lieu d’être. Là également, et ce contrairement à la thèse soutenue par l’appelante, la présidente a en effet procédé à une appréciation des différents éléments de preuve à sa disposition pour retenir que la date figurant sur la pièce litigieuse ne pouvait être correcte et que la déclaration de sinistre avait en réalité été remplie le 10 septembre 2018 par la fiduciaire [...]. En particulier, la présidente a retenu que la date du 10 juin 2018, à savoir celle figurant effectivement sur la pièce litigieuse, était manifestement erronée, dès lors que les échanges de courriels intervenus entre la fiduciaire et l’appelante – produits par l’appelante elle-même en première instance – documentaient le fait qu’il y avait eu une erreur de frappe. Il est donc erroné de prétendre, comme le fait l’appelante, que les parties n’ont jamais émis de contestation au sujet de la date inscrite sur la déclaration d’incapacité de travail de l’intimé. Le courriel du 20 février 2019 de [...], responsable de la fiduciaire [...], à [...], spécialiste en assurances entreprises auprès de l’appelante, en témoigne : « une déclaration d’incapacité a bien été établie le 10 septembre 2018 (datée par erreur au 10 juin) ». Par ailleurs, sans que l’appelante ne formule de critique circonstanciée à cet égard, le jugement querellé retient divers éléments corroborant cette thèse. Premièrement, l’incapacité de travail n’était pas encore connue, respectivement médicalement attestée, le 10 juin 2018. En effet, la décision attaquée retient que l’intimé « a été en incapacité de travail totale du 29 juin 2018 au 31 décembre 2018 […] » et que la Dre  [...], médecin généraliste de l’intimé, a adressé son patient auprès de plusieurs spécialistes en vue d’établir un diagnostic médical. Deuxièmement, les 9 et 27 juillet 2018, le Dr [...], spécialiste FMH en neurologie, a délivré deux rapports médicaux sur la base notamment d’une IRM cérébrale effectuée le 17 juillet 2018, lesquels ont fait état d’une [...]. Ce diagnostic a, au surplus, été confirmé le 24 juillet 2018 par un confrère neurologue, le Dr [...], et également le 28 janvier 2019 par la Dre  [...], laquelle a précisément répondu aux questions formulées par l’appelante. Il ressort ainsi de la chronologie des événements, telle qu’exposée par le jugement querellé, que ni la maladie de l’intimé ni son incapacité de travail n’ont été diagnostiquées, respectivement établies, avant le 29 juin 2018, ce que l’appelante n’a au demeurant pas remis en cause en se prévalant, par exemple, d’examens médicaux conduits antérieurement. Sur la base de cette chronologie, le constat de la présidente n’est pas critiquable et s’impose au contraire logiquement. En effet, si l’incapacité de travail a débuté le 29 juin 2018 selon les constats médicaux, la date du 10 juin 2018 figurant sur la déclaration remplie par la fiduciaire est manifestement erronée et résulte d’une erreur de frappe. Partant, le grief de l’appelante est infondé et l’état de fait ne doit pas non plus être corrigé sur ce point.</w:t>
      </w:r>
    </w:p>
    <w:p>
      <w:r>
        <w:rPr>
          <w:b/>
        </w:rPr>
        <w:t>E. 3.1</w:t>
      </w:r>
    </w:p>
    <w:p>
      <w:r>
        <w:t>En droit, l’appelante reproche à la présidente de n’avoir pas considéré que la survenance du sinistre était antérieure à la conclusion de l’assurance perte de gain et que celui-ci aurait au surplus dû être signalé par la compagne de l’intimé au moment de la signature de la proposition d’assurance.</w:t>
      </w:r>
    </w:p>
    <w:p>
      <w:r>
        <w:rPr>
          <w:b/>
        </w:rPr>
        <w:t>E. 3.2.1.1</w:t>
      </w:r>
    </w:p>
    <w:p>
      <w:r>
        <w:t>L’art. 324a CO (loi fédérale complétant le Code civil suisse du 30 mars 1911 ; RS 220) régit le droit du travailleur de percevoir son salaire, pendant un temps limité, lorsqu’il est empêché, sans faute de sa part, de fournir sa prestation pour une cause inhérente à sa personne, telle que la maladie ou l’accident (al. 1). Pendant la première année de service, ce temps limité ne peut pas être inférieur à trois semaines ; par la suite, il s’agit d’une période plus longue, à fixer équitablement d’après la durée des rapports de travail et les circonstances particulières (art. 324a al. 2 CO). Un accord écrit, un contrat-type de travail ou une convention collective peut déroger à ces dispositions à condition d’accorder au travailleur des prestations au moins équivalentes (art. 324a al. 4 CO). Cette disposition permet ainsi de substituer une couverture d’assurance à l’obligation légale de payer le salaire, à condition toutefois que les travailleurs bénéficient de prestations au moins équivalentes (ATF 141 III 112 consid. 4.1) Dans le domaine de l’assurance couvrant le risque de perte de gain en cas de maladie ou d’accident, les parties peuvent choisir de conclure une assurance sociale d’indemnités journalières régie par les art. 67 à 77 LAMal (loi fédérale sur l’assurance-maladie du 18 mars 1994 ; RS 832.10) ou une assurance d’indemnités journalières soumise à la LCA (ATF 141 III 1 12 consid. 4.1 ; TF 4A 529/2012 du 31 janvier 2013 consid. 2.1 et les réf. citées). L’assurance collective perte de gain LCA est une assurance complémentaire à l’assurance-maladie sociale qui relève du droit privé (ATF 141 III 1 12 consid. 4.2 ; ATF 133 III 439 consid. 2.1). La LCA ne comporte pas de dispositions particulières relatives à l’assurance d’indemnités journalières en cas de maladie ou d’accident, de sorte qu’en principe, le droit aux prestations se détermine exclusivement d’après la convention des parties (ATF 133 III 185 consid. 2 ; CACI du 18 juin 2015/314).</w:t>
      </w:r>
    </w:p>
    <w:p>
      <w:r>
        <w:rPr>
          <w:b/>
        </w:rPr>
        <w:t>E. 3.2.1.2</w:t>
      </w:r>
    </w:p>
    <w:p>
      <w:r>
        <w:t>Il ressort notamment de l’article premier des CGA du 1 er septembre 2016, lesquelles font partie intégrante du contrat conclu entre l’appelante et la société [...], que l’assureur accorde sa garantie pour les conséquences économiques d’une incapacité résultant d’une maladie au sens des définitions prévues dans les CGA, pour autant que ce risque soit inclus dans la police d’assurance. Conformément à l’art. 3 ch. 3 CGA, « par maladie, on entend toute atteinte involontaire à la santé physique, mentale ou psychique, médicalement et objectivement décelable, qui n’est pas due à un accident ou à ses suites et qui exige un examen, un traitement médical ou engendre une incapacité ». Selon le ch. 7 de cette même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Il ressort de l’art. 18 al. 1 CGA, que les prestations sont refusées en cas de réserve ou de réticence (let. a) ou lors de fraude ou de tentative de fraude à l'assurance (let. e). Enfin, il découle de l’art. 25 al. 3 CGA que chaque incapacité totale ou partielle doit être annoncée à l’assureur dans les 15 jours qui suivent sa survenance. Après ce délai, le jour où l’assureur a pris connaissance de l’incapacité est réputé comme premier jour d’incapacité.</w:t>
      </w:r>
    </w:p>
    <w:p>
      <w:r>
        <w:rPr>
          <w:b/>
        </w:rPr>
        <w:t>E. 3.2.2</w:t>
      </w:r>
    </w:p>
    <w:p>
      <w:r>
        <w:t>Selon l’art. 9 aLCA (dans sa teneur antérieure au 1 er janvier 2022, ici déterminante) – lequel est une norme impérative (art. 97 aLCA) – le contrat d’assurance est nul si, au moment où il a été conclu, le risque avait déjà disparu ou si le sinistre était déjà survenu. Le Tribunal fédéral a interprété cette disposition en ce sens que le contrat est nul si l’événement redouté, contre lequel on veut s’assurer, est déjà survenu au moment de la conclusion du contrat (ATF 129 III 510 consid. 3.2, JdT 2003 I 552 ; TF 8C_324/2007 du 12 février 2008 consid. 4.1 ; CACI 22 août 2022/431). La finalité de l’art. 9 aLCA est d’exclure de l’assurance les événements futurs certains (Maurer, Privatversicherungsrecht, 3 e éd., Berne 1995, p. 243 s. ; Carré, Loi fédérale sur le contrat d’assurance, Lausanne 2000, note ad art. 9). Ce moyen ne doit pas être confondu avec la réticence ; il rend le contrat nul même si les parties ne savaient pas, au moment de la conclusion, que le sinistre était déjà réalisé (ATF 136 III 334 consid. 3 ; ATF 127 III 21 consid. 2b/aa p. 23 ; TF 5C.45/2004 du 9 juillet 2004 consid. 2.1.2). Si une maladie s’est déjà déclarée, il n’est pas possible de l’assurer, même si elle ne se manifeste plus au moment de la conclusion du contrat, lorsque des rechutes ultérieures en apparaissent comme une évolution normale (ATF 136 III 334 précité consid. 3 ; ATF 127 III 21 précité consid. 2b/aa). Néanmoins, la règle de l’art. 9 LCA repose sur le principe selon lequel le caractère aléatoire est un élément essentiel du risque assurable (Carré, op. cit. , note ad art. 9 et la réf. citée).</w:t>
      </w:r>
    </w:p>
    <w:p>
      <w:r>
        <w:rPr>
          <w:b/>
        </w:rPr>
        <w:t>E. 3.2.3</w:t>
      </w:r>
    </w:p>
    <w:p>
      <w:r>
        <w:t>A teneur de l’art. 4 aLCA (dans sa teneur antérieure au 1 er janvier 2022, ici applicable),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La réticence se définit comme l’omission de déclarer, ou le fait de déclarer inexactement, lors de la conclusion du contrat, un fait important que celui ayant l’obligation de déclarer connaissait ou devait connaître (art.</w:t>
      </w:r>
    </w:p>
    <w:p>
      <w:r>
        <w:rPr>
          <w:b/>
        </w:rPr>
        <w:t>E. 3.3</w:t>
      </w:r>
    </w:p>
    <w:p>
      <w:r>
        <w:t>L’appelante fait valoir qu’il serait établi par les rapports médicaux des Drs [...] et [...], respectivement rédigés en juillet 2018 et janvier 2019, que la survenance du sinistre serait antérieure à la signature de la proposition d’assurance. Selon elle, ces rapports démontreraient que la [...] serait apparue chez l’intimé avant la souscription de l’assurance et serait une conséquence de l’infection [...] dont il souffre depuis les années [...]. Elle plaide ainsi que la pathologie à l’origine de l’incapacité de travail aurait été connue avant la conclusion de l’assurance litigieuse et qu’elle ne pouvait donc pas être qualifiée d’événement futur incertain par la présidente. Le contraire aurait dû être retenu selon elle, ce qui aurait impliqué la nullité du contrat d’assurance. Par ailleurs, l’appelante se prévaut du fait que la représentante de la société qui emploie l’intimé n’aurait en substance pas manqué de remarquer la pathologie préexistante de l’intéressé, lequel est son compagnon, et que ses réponses négatives au questionnaire de santé relèveraient de la réticence. Elle expose à cet égard que la collusion de l’employeur à l’établissement de cette police d’assurance, en connaissance de la pathologie et en prévision de l’incapacité de travail, aurait dû amener la présidente à constater que le contrat n’aurait pas été conclu « si Q.________ avait répondu oui à l’aune des questions de santé ».</w:t>
      </w:r>
    </w:p>
    <w:p>
      <w:r>
        <w:rPr>
          <w:b/>
        </w:rPr>
        <w:t>E. 3.4.1</w:t>
      </w:r>
    </w:p>
    <w:p>
      <w:r>
        <w:t>En l’occurrence, l’état de fait du jugement entrepris ne permet pas de retenir que la pathologie ayant causé l’incapacité de travail de l’intimé, soit [...] – dont l’origine serait liée à la [...] de l’intéressé, aurait été connue avant le 29 juin 2018, date du début de l’incapacité de travail telle qu’attestée médicalement. Au contraire, on l’a vu (cf. supra consid. 2.4.2), la chronologie des événements ressortant du jugement querellé démontre qu’à compter de cette date, des investigations ont été entreprises après que la généraliste de l’intimé avait redirigé son patient auprès de spécialistes neurologues. Ceux‑ci ont posé leur diagnostic au plus tôt en juillet 2018 et ce après avoir procédé à divers examens réalisés durant ce même mois. Si ce diagnostic émet l’hypothèse que la maladie survenue chez l’intimé serait en relation avec [...] présente depuis les années [...], cela ne signifie pas encore que l’infection, en tant que telle, ait entraîné une incapacité de travail par le passé. Au contraire, il a été médicalement attesté que l’intimé n’avait jamais fait l’objet d’une incapacité de travail pour ce trouble, ni même éprouvé le besoin d’entreprendre de traitement médical en lien avec cette infection [...]. Or, à cet égard, le risque « maladie », tel que couvert par l’assurance d’indemnité journalière proposée par l’appelante se définit précisément, selon l’art. 3.3 de ses CGA, comme toute atteinte exigeant notamment un examen, un traitement médical ou engendrant une incapacité ; ce qui n’a pas été le cas s’agissant de ladite infection. On relèvera en outre que les praticiens n’ont, à aucun moment, exposé que la pathologie détectée en juillet 2018 chez l’intimé constituait une quelconque rechute de maladie. Partant, on ne se trouve pas dans un cas où, au moment de la conclusion du contrat d’assurance, il était d’ores et déjà certain que le sinistre allait survenir.</w:t>
      </w:r>
    </w:p>
    <w:p>
      <w:r>
        <w:rPr>
          <w:b/>
        </w:rPr>
        <w:t>E. 3.4.2</w:t>
      </w:r>
    </w:p>
    <w:p>
      <w:r>
        <w:t>Sur la question de la réticence, il sied premièrement de relever qu’aucun élément de l’état de fait du jugement querellé ne permet de déduire la connaissance d’une incapacité de travail – ni certaine ni probable – avant la fin du mois de juin 2018, chez l’intimé. S’il est vrai que, sous l’anamnèse de son rapport du mois de janvier 2019, la Dre [...] a décrit que l’intimé rapportait depuis deux ans des [...] et des [...], de telles manifestations ne permettaient pas encore de prédire la survenance d’une incapacité de travail, ce dont le médecin précité ne fait au demeurant aucunement état. Par ailleurs, lors de son entretien du 4 juillet 2019 avec un représentant de l’appelante, l’intimé n’a premièrement pas caché le fait qu’il consultait le centre hospitalier [...] depuis deux ans pour des [...] présentes dans les deux jambes et qu’il consultait également à [...]. Plus tard, lorsqu’on lui a expressément demandé s’il n’avait pas voulu frauder l’assurance, il l’a contesté énergiquement et de manière crédible, précisant être tombé malade d’un coup sans imaginer pouvoir faire l’objet d’une incapacité de travail quelconque. A ce propos, le témoin [...] a confirmé que tout avait changé sur le plan professionnel pour l’intimé depuis le déclenchement de sa maladie. Aucun de ces éléments ne permet de déduire une incapacité de travail antérieure chez l’intimé, respectivement la connaissance antérieure de la pathologie qui l’a conduit à l’incapacité attestée médicalement depuis le 29 juin 2018. S’agissant du questionnaire de santé contenu dans la proposition d’assurance du 14 juin 2018, il faut constater son caractère pour le moins lacunaire et imprécis. En effet, les questions 4a et 4b, dont se prévaut notamment l’appelante dans son acte d’appel, portaient sur le fait de savoir si, parmi les personnes à assurer, l’une d’entre elles était actuellement en incapacité de travail ou planifiait une telle incapacité. La question 4c, non évoquée dans le mémoire d’appel, interrogeait quant à elle sur le fait de savoir si l’une des personnes à assurer avait dû interrompre son activité professionnelle au cours des vingt-quatre derniers mois. Or, aucune de ces questions ne portait sur le fait de savoir si une pathologie était connue ou en cours d’investigation, ou encore si quelque indice que ce soit laissait présupposer une incapacité future. L’appelante n’invoque d’ailleurs aucun élément du dossier qui permettrait d’infirmer la véracité des réponses négatives données à ces questions par la compagne de l’intimé, sinon des spéculations rattachées à la chronologie des événements et aux liens personnels existants entre l’intimé et la représentante de son employeur. Or à cet égard, sans que ces faits ne soient valablement contestés en appel, la présidente a retenu qu’aucune des pathologies de l’intimé n’avait été diagnostiquée à l’époque ou avant l’acceptation de la proposition d’assurance et que l’intimé, qui vivait depuis plusieurs décennies avec son infection [...], n’avait apparemment jamais éprouvé le besoin d’entreprendre de traitement médical. Elle en a déduit qu’au moment de la conclusion du contrat d’assurance, l’intimé ne pouvait objectivement compter sur une péjoration – significative et soudaine – de son état de santé en lien avec cette infection. Avec la présidente, il sied de constater que l’appelante n’avance aucun moyen qui permettrait de remettre en cause cette appréciation, hormis avancer sa propre version des faits sur la base de spéculations. Il en va de même de la connaissance hypothétique par la compagne de l’intimé d’une cause d’incapacité de travail chez son compagnon. A fortiori , on retiendra que ce qui est tenu pour inconnu par le principal intéressé ne saurait être imputé à la représentante de son employeur – soit le preneur d’assurance –, fût-elle sa concubine. La présidente a retenu, sans que ce fait ne soit valablement remis en cause autrement que par une spéculation découlant d’un lien personnel entre l’intimé et la signataire de la proposition d’assurance, que rien ne permettait de considérer que l’intimé avait collaboré à la rédaction du questionnaire de santé. Du reste, elle a également considéré, à juste titre, que rien au dossier ne permettait d’établir que la compagne de l’intimé aurait répondu au questionnaire litigieux de manière contraire à la vérité. Le seul diagnostic médical connu au sujet de l’intimé était – à l’époque de la signature de la police d’assurance – sa [...], laquelle n’impliquait aucune incapacité de travail à cette époque. Or, ce dernier élément est le seul sur lequel a été interrogé l’employeur dans la proposition d’assurance. Fort de ce qui précède, il y a lieu de considérer qu’aucune réticence n’est avérée en l’occurrence. Il s’ensuit le rejet du grief. 4. 4.1 L’appelante fait enfin grief à la présidente de ne pas avoir retenu une fraude à l’assurance de la part de l’intimé, respectivement de sa compagne. 4.2 4.2.1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cette dernière disposition,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 en d’autres termes, une communication correcte des faits conduirait l’assureur à verser une prestation moins importante, voire aucune. Ainsi en est-il lorsque l’ayant droit déclare un dommage plus étendu qu’en réalité, par exemple lorsqu’une atteinte à la santé n’est pas aussi grave qu’annoncée. L’exagération de l’état de santé remplit ainsi les conditions objectives de l’art. 40 LCA, tout comme le fait de ne pas annoncer une amélioration de cet état (TF 4A_378/2021 du 12 octobre 2021 consid. 4.1 et l’arrêt cité ; CACI 8 avril 2022/188 consid. 4.2 ; Brulhart, Commentaire romand, loi sur le contrat d’assurance, Bâle 2022, n. 7 ad art. 40 LCA et les réf. citées). De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L’assureur peut alors refuser toute prestation, même si la fraude se rapporte à une partie seulement du dommage. S’agissant d’un moyen libératoire, il incombe à l’assureur de prouver, au degré de la vraisemblance prépondérante, les faits permettant l’application de l’art. 40 LCA (TF 4A_378/2021 du 12 octobre 2021 consid. 4.1 et l’arrêt cité ; CACI 8 avril 2022/188 consid. 4.2). 4.2.2 Bien que la LCA ne traite pas de la question de la répartition du fardeau de la preuve en assurance privée, le système ne diffère pas des règles de droit commun, et plus particulièrement de la règle générale de l’art. 8 CC (Code civil suisse du 10 décembre 1907 ; RS 210). En vertu de cette règle générale, le demandeur doit prouver les faits qui fondent sa prétention, tandis que sa partie adverse doit prouver les faits qui entraînent l’extinction ou la perte du droit (ATF 130 III 321 consid. 3.1 ; TF 4A_431/2010 du 17 novembre 2010 consid. 2.4). Le degré de la preuve applicable à l’intention d’induire en erreur, qui incombe à l’assurance, est celui de la vraisemblance prépondérante. En revanche, l’assurance ne se trouve pas dans un état de nécessité pour ce qui est de la preuve, qu’il lui appartient d’établir, que l’assuré a présenté les faits de manière contraire à la vérité ; le degré de la preuve ordinaire, soit celui de la preuve stricte, est dès lors en principe applicable (ATF 148 III 134 consid. 3.4). Le juge doit procéder à une appréciation d’ensemble des éléments qui lui sont apportés et dire s’il retient qu’une vraisemblance prépondérante a été établie (ATF 130 III 321). Ces principes valent en particulier également en matière de déclaration ou dissimulation frauduleuse au sens de l’art. 40 LCA (TF 4A_432/2015 du 8 février 2016 consid. 2.1 et 2.2 et les références citées ; TF 4A_382/2014 du 3 mars 2014 consid. 5.3 ; TF 4A_431/2010 du 17 novembre 2010 consid. 2.4 et 2.5). En droit des assurances sociales, la jurisprudence – également applicable en matière de contrat d’assurance (cf. Brulhart, op. cit. , n. 25 ad art. 40 LCA et les réf. citées) – a posé le principe selon lequel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Dans le cadre de son évaluation, le médecin doit évaluer si les activités de l’assuré, visibles sur les prises de vue ou rapportées par le détective privé, sont cohérentes par rapport au degré d’incapacité de travail allégué. Cette exigence d’une appréciation médicale sur le résultat de l’observation permet d’éviter une évaluation superficielle et hâtive de la documentation fournie par le détective privé (ATF 137 I 327 consid. 7.1 ; cf. TF 4A_273/2018 du 11 juin 2019 consid. 3.2.3.2 et les réf. citées). 4.3 En l’espèce, la présidente a considéré, à juste titre, que la seule proximité temporelle entre la conclusion du contrat d’assurance et l’incapacité de travail ne permettait pas de conclure à une fraude, ni de démontrer que cette incapacité avait été planifiée. A suivre le raisonnement de l’appelante, il faudrait pouvoir retenir que toutes les circonstances liées à la cessation d’activité de la raison individuelle de l’intimé, puis de la reprise de l’établissement par la société [...], jusqu’à l’engagement de l’intimé comme employé, auraient été organisées soigneusement en amont, dans la perspective d’obtenir indûment des prestations d’assurance ; or, cela n’est, encore une fois, qu’une spéculation. Il convient de rappeler qu’il appartient à l’assureur de prouver les faits permettant l’application de l’art. 40 LCA, ceci quand bien même le degré de la preuve est limité à la vraisemblance, ce que l’appelante n’a pas fait. Par ailleurs, la présidente a retenu que les éléments versés au dossier ne permettaient pas de mettre en doute le fait que l’intimé s’était limité à travailler dans les cuisines de l’établissement et d’accomplir les tâches qui y étaient étroitement liées. En conséquence de quoi elle a considéré, à juste titre, que « malgré les liens assurément étroits [de l’intimé] avec cet établissement et sa tenancière, les éléments mis en avant par [l’appelante] [étaient] insuffisants pour retenir que [l’intimé] fonctionnait en réalité en tant qu’ayant droit économique de cette entreprise et qu’il [avait] livré de fausses déclarations dans le but de tromper l’assureur et obtenir un enrichissement illégitime ». Contre cet argument, l’appelante se limite une fois de plus à opposer sa propre conception des faits, en spéculant et en livrant des généralités sans force probante. Elle fait valoir, sous cet angle, que si l’intimé n’était bien qu’un employé de la société [...], alors il aurait pris des libertés incompatibles avec son statut dans le cadre de son horaire de travail et dans la gestion de son incapacité. Elle se prévaut des heures durant lesquelles la présence de l’intimé au sein de l’établissement ou dans des grandes surfaces avait été objectivée par son enquêteur et la surveillance à laquelle celui-ci s’était livré. Or, la présidente n’a pas éludé cette problématique non plus et a exposé de façon circonstanciée en quoi les observations de l’enquêteur ne permettaient pas de déduire une activité professionnelle effective incompatible avec l’incapacité annoncée. La présidente a ainsi considéré, à juste titre, que le seul fait d’avoir constaté la présence de l’intimé à quelques reprises dans les locaux, de l’avoir vu interagir avec des clients de l’établissement ou rentrer des courses effectuées pour le restaurant, durant sa période d’incapacité de travail, ne permettait pas encore de retenir que celui-ci participait activement à la bonne marche de l’entreprise et fonctionnait en réalité en tant que gérant de l’établissement. Les généralités plaidées par l’appelante dans son mémoire d’appel (cf. pp. 6-7) ne permettent pas de battre en brèche cette appréciation, faute notamment de toute motivation circonstanciée référençant les éléments mis en évidence par l’instruction. En particulier, l’appelante ne dit mot de l’appréciation faite par la présidente des témoignages concordants livrés par les autres employés de l’établissement, lesquels corroborent les réponses données par l’intimé lors de son entretien avec un représentant de l’appelante en juillet 2019. En effet, les témoins ont confirmé que l’intimé rencontrait des difficultés à se tenir debout en raison du fait qu’il ne disposait plus de force dans ses jambes et qu’il se fatiguait rapidement, ce qui avait notamment engendré des chutes à plusieurs reprises. Ils ont aussi affirmé qu’il arrivait à l’intéressé de conseiller son équipe en cuisine sans pour autant y travailler lui-même en raison de son état de santé, de même qu’il lui était difficile d’effectuer de manière autonome les courses pour l’établissement en raison de ces difficultés. Il s’agit d’autant d’éléments qui permettent de déduire, comme l’a fait à juste titre la présidente, que la présence de l’intimé au sein de l’établissement, telle que constatée par l’enquêteur, était compatible avec sa capacité résiduelle de travail. L’appelante ne dit mot non plus du fait que certaines constatations mises en lumière par la surveillance – tel le fait par exemple que l’intimé ne se trouvait plus en cuisine durant le service de midi – contredisent en réalité la thèse qu’elle soutient. Il sied encore de préciser, comme l’a justement relevé la présidente, que l’enquêteur n’avait pas un accès direct à la cuisine de l’établissement, ce qui l’empêchait ainsi d’observer le principal intéressé en temps réel. En définitive, la critique formulée par l’appelante ne remplie pas la condition objective posée par l’art. 40 LCA. Enfin, l’appelante ne dit rien non plus de l’absence de la condition subjective de la fraude à la loi, dont la présidente a considéré, à bon escient, qu’elle faisait défaut, dès lors qu’à l’occasion de son entretien du 4 juillet 2019, l’intimé avait spontanément indiqué qu’il continuait à se rendre sur son lieu de travail et avait indiqué en détail les activités résiduelles qu’il avait continué à exercer, alors qu’il ignorait faire l’objet d’une surveillance. Pour ce motif également, le grief doit être rejeté. 5. En définitive, l’appel doit être rejeté dans la mesure de sa recevabilité, en application de l’art. 312 al. 1 in fine CPC, et le jugement attaqué confirmé. Compte tenu de l’art. 114 let. e CPC – applicable à la procédure d’appel ou de recours (TF 4A_289/2017 du 21 février 2018 consid. 3.3 ; cf. Tappy, in Code de procédure civile commenté, 2019, n° 10 ad art. 114 CPC et les réf. citées) – et dans la mesure où l’intimé n’a pas été invité à se déterminer, l’arrêt sera rendu sans frais judiciaires ni dépens de deuxième instance.</w:t>
      </w:r>
    </w:p>
    <w:p>
      <w:r>
        <w:rPr>
          <w:b/>
        </w:rPr>
        <w:t>E. 6</w:t>
      </w:r>
    </w:p>
    <w:p>
      <w:r>
        <w:t>al. 1 aLCA, dans sa teneur antérieure au 1 er janvier 2022, ici déterminante). Cette notion renvoie aux déclarations obligatoires imposées par l’art. 4 aLCA. Selon l’alinéa 3 de la disposition précitée, il incombe à l’assureur de poser des questions précises et non équivoques. Le proposant doit répondre de manière véridique aux questions, telles qu’il peut les comprendre de bonne foi. Il n’y a pas de réponse inexacte si la question est ambiguë et que la réponse donnée apparaît véridique selon la manière dont la question pouvait être comprise de bonne foi par le proposant ( ATF 136 III 334 consid. 2.3 ; TF 4A_94/2019 précité consid. 3).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 ATF 136 III 334 consid. 2.3).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 ATF 136 III 334 consid. 2.3 ; ATF 134 III 511 consid. 3.3.3 ; TF 4A_555/2019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