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355 vom 4. September 2024</w:t>
      </w:r>
    </w:p>
    <w:p>
      <w:r>
        <w:t>VD Tribunal cantonal, 2024-09-04, FR</w:t>
      </w:r>
    </w:p>
    <w:p>
      <w:r>
        <w:rPr>
          <w:b/>
        </w:rPr>
        <w:t xml:space="preserve">Quelle: </w:t>
      </w:r>
      <w:r>
        <w:t>https://mcp.opencaselaw.ch/entscheid/vd_findinfo_HC___2024___355</w:t>
      </w:r>
    </w:p>
    <w:p>
      <w:r>
        <w:t>FR: VD_FINDINFO HC / 2024 / 355 du 4 septembre 2024</w:t>
      </w:r>
    </w:p>
    <w:p>
      <w:r>
        <w:t>IT: VD_FINDINFO HC / 2024 / 355 del 4 settembre 2024</w:t>
      </w:r>
    </w:p>
    <w:p>
      <w:pPr>
        <w:pStyle w:val="Heading2"/>
      </w:pPr>
      <w:r>
        <w:t>Regeste</w:t>
      </w:r>
    </w:p>
    <w:p>
      <w:r>
        <w:t>RESPONSABILITÉ DE L'EMPLOYEUR{RAPPORT OBLIGATIONNEL}, CONTRAT DE TRAVAIL, INDEMNITÉ JOURNALIÈRE | 319 CO, 322 al. 1 CO, 97 al. 1 CO</w:t>
      </w:r>
    </w:p>
    <w:p>
      <w:pPr>
        <w:pStyle w:val="Heading2"/>
      </w:pPr>
      <w:r>
        <w:t>Erwägungen</w:t>
      </w:r>
    </w:p>
    <w:p>
      <w:r>
        <w:rPr>
          <w:b/>
        </w:rPr>
        <w:t>E. 1.1</w:t>
      </w:r>
    </w:p>
    <w:p>
      <w:r>
        <w:t>L’appel est recevable contre les décisions finales et les décisions incidentes de première instance (art. 308 al. 1 let. a CPC [Code de procédure civile du 19 décembre 2008 ; RS 220]), dans les causes non patrimoniales ou dont la valeur litigieuse, au dernier état des conclusions, est de 10'000 fr. au moins (art. 308 al. 2 CPC). L'appel, écrit et motivé, doit être introduit auprès de l'instance d'appel dans les trente jours à compter de la notification de la décision motivée (art. 311 al. 1 CPC).</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écrit et motivé, est recevable. La réponse de l’intimé a également été déposée en temps utile et elle est partant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effectuées par le juge de première instance et vérifie si celui-ci pouvait admettre les faits qu’il a retenus (ATF 138 III 374 consid. 4.3.1 ; TF 5A_340/2021 du 16 novembre 2021 consid. 5.3.1,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3.1</w:t>
      </w:r>
    </w:p>
    <w:p>
      <w:r>
        <w:t>L’appelant reproche à l’autorité précédente d’avoir retenu que les parties étaient liées par un contrat de travail. Bien qu’admettant que l’intimé « a travaillé en qualité de maçon » pour lui (page 4 de l’appel), l’appelant invoque qu’il n’aurait été engagé qu’« en gain intermédiaire », par un « contrat intermédiaire » et rémunéré à l’heure. Les parties seraient convenues qu’une « activité apportant un gain intermédiaire se transformerait par la suite en un contrat de travail si les ressources et la masse de travail de l’appelant le permettaient ». Or, tel n’avait pas été le cas.</w:t>
      </w:r>
    </w:p>
    <w:p>
      <w:r>
        <w:rPr>
          <w:b/>
        </w:rPr>
        <w:t>E. 3.2</w:t>
      </w:r>
    </w:p>
    <w:p>
      <w:r>
        <w:t>Par le contrat individuel de travail, le travailleur s'engage, pour une durée déterminée ou indéterminée, à travailler au service de l'employeur et celui-ci à payer un salaire fixé d'après le temps ou le travail fourni (art. 319 al. 1 CO [Code des obligations du 30 mars 1911 ; RS 220]). Les éléments caractéristiques de ce contrat sont une prestation de travail, un rapport de subordination, un élément de durée et une rémunération (TF 4A_366/2021 du 28 janvier 2022 consid. 4.1.1 et 4.1.2 ; TF 4A_53/2021 du 21 septembre 2021 consid. 5.1.2 ; TF 4A_64/2020 du 6 août 2020 consid. 6.1 et les réf. citées). Le contrat de travail se distingue avant tout des autres contrats de prestation de services, en particulier du mandat, par l'existence d'un lien de subordination (ATF 125 III 78 consid. 4 ; ATF 112 II 41 consid. 1 a/aa et consid. 1 a/bb), qui place le travailleur dans la dépendance de l'employeur sous l'angle personnel, organisationnel et temporel, et dans une certaine mesure économique. Le travailleur est assujetti à la surveillance, aux ordres et instructions de l'employeur ; il est intégré dans l'organisation de travail d'autrui et y reçoit une place déterminée (TF 4A_592/2016 du 16 mars 2017 consid. 2.1). D’autres indices peuvent plaider en faveur du contrat de travail, tels que le prélèvement de cotisations sociales sur la rémunération due ou la qualification d’activité lucrative dépendante opérée par les autorités fiscales (TF 4A_194/2011 du 5 juillet 2011 consid. 5.6.1 ; TF 4C.64/2006 du 28 juin 2006 consid. 2.1.2).</w:t>
      </w:r>
    </w:p>
    <w:p>
      <w:r>
        <w:rPr>
          <w:b/>
        </w:rPr>
        <w:t>E. 3.3</w:t>
      </w:r>
    </w:p>
    <w:p>
      <w:r>
        <w:t>En l’espèce, à l’appui de son argumentation, l’appelant invoque les propos de sa comptable, S.________. Son témoignage, au vu des liens entre les précités, ne saurait établir les faits ainsi invoqués sans être appuyé par d’autres éléments de preuve. Or, l’appelant n’en cite aucun. Dans ces conditions, on ne saurait sur ce point s’écarter de l’état de fait du jugement entrepris sur la seule base des déclarations, par ailleurs fluctuantes, de la comptable de l’appelant. Au demeurant, en droit, l’appelant invoque la conclusion non d’un contrat de travail, mais d’un contrat intermédiaire, « en gain intermédiaire ». Bien qu’assisté, l’appelant n’invoque aucune référence légale ou jurisprudentielle s’agissant de cette notion, qui n’existe pas. Faute pour l’appelant de contester le raisonnement de l’autorité précédente (cf. jugement, p. 25), que les parties étaient liées par un contrat de travail, celui-ci, détaillé et convaincant, ne peut être que confirmé. En effet, tous les éléments du contrat de travail sont ici clairement réunis. L’appelant versait à l’intimé un salaire, dont étaient déduites les cotisations sociales. L’intimé était dépendant de l’appelant sous l’angle personnel, organisationnel, économique et temporel puisque son lieu de travail et la quantité de celui-ci variait en fonction de la localisation des chantiers et des mandats qu’obtenait l’appelant. Les rapports de travail n’ont pas été occasionnels et se sont inscrits dans la durée. Le grief de l’appelant est partant infondé.</w:t>
      </w:r>
    </w:p>
    <w:p>
      <w:r>
        <w:rPr>
          <w:b/>
        </w:rPr>
        <w:t>E. 4</w:t>
      </w:r>
    </w:p>
    <w:p>
      <w:r>
        <w:t>L’appelant conteste l’application de la CN 2012-2015. Ce grief est fondé uniquement sur l’admission du précédent moyen qui visait à établir que l’appelant n’avait jamais employé l’intimé en qualité de travailleur, ce qui aurait rendu la CN 2012-2015 inapplicable. Or, le précédent moyen a été rejeté, de sorte que ce grief ne peut qu’être lui aussi écarté.</w:t>
      </w:r>
    </w:p>
    <w:p>
      <w:r>
        <w:rPr>
          <w:b/>
        </w:rPr>
        <w:t>E. 5.1</w:t>
      </w:r>
    </w:p>
    <w:p>
      <w:r>
        <w:t>L’appelant conteste également son obligation de devoir supporter les conséquences économiques de l’incapacité de travail de l’intimé pendant une durée de 720 jours dès lors que les conditions de l’art. 97 al. 1 CO ne seraient pas remplies.</w:t>
      </w:r>
    </w:p>
    <w:p>
      <w:r>
        <w:rPr>
          <w:b/>
        </w:rPr>
        <w:t>E. 5.2</w:t>
      </w:r>
    </w:p>
    <w:p>
      <w:r>
        <w:t>L’art. 97 al. 1 CO prévoit que lorsque le créancier ne peut obtenir l’exécution de l’obligation ou ne peut l’obtenir qu’imparfaitement, le débiteur est tenu de réparer le dommage en résultant, à moins qu’il ne prouve qu’aucune faute ne lui est imputable. Lorsque l'employeur ne satisfait pas à ses obligations contractuelles, par exemple s'il omet de conclure l'assurance avec les prestations prévues, il doit réparer le préjudice subi par le travailleur sur la base de l'art. 97 al. 1 CO, que l'inexécution soit totale ou partielle, et verser des dommages-intérêts correspondant aux prestations que le travailleur aurait reçues de l'assurance en question pour le risque considéré (ATF 141 III 112 consid. 4.5 ; ATF 127 III 318 consid. 5 ; TF 4A_228/2017 du 23 mars 2018 consid. 2.2). La responsabilité fondée sur l’art. 97 al. 1 CO est soumise à quatre conditions : la violation du contrat, un dommage, un lien de causalité (naturelle et adéquate) entre ces deux éléments, et une faute. Le créancier supporte le fardeau de la preuve (art. 8 CC) des trois premières conditions (ou faits pertinents), ce qui signifie que, si le juge ne parvient pas à une conviction, n'est pas à même de déterminer si chacun de ces faits s'est produit ou ne s'est pas produit, il doit statuer au détriment du créancier (ATF 132 III 689 consid. 4.5 ; ATF 129 III 18 consid. 2.6). En revanche, il incombe au débiteur, dont la faute est présumée, de prouver la quatrième condition, à savoir qu'aucune faute ne lui est imputable (« à moins qu'il ne prouve ») ; il supporte ainsi le fardeau de la preuve des faits libératoires pour le cas où le juge ne serait convaincu ni de l'existence d'une faute ni de son absence (renversement du fardeau de la preuve) (TF 4A_119/2018 du 7 janvier 2019 consid. 5.2).</w:t>
      </w:r>
    </w:p>
    <w:p>
      <w:r>
        <w:rPr>
          <w:b/>
        </w:rPr>
        <w:t>E. 5.3.1</w:t>
      </w:r>
    </w:p>
    <w:p>
      <w:r>
        <w:t>En premier lieu, l’appelant conteste avoir commis la moindre faute. A l’appui de son grief, l’appelant invoque qu’on lui aurait dit à plusieurs reprises ainsi qu’à sa fiduciaire qu’aucune assurance perte de gain maladie ne devait être conclue dès lors que l’intimé était en gain intermédiaire. Il cite à l’appui de ce moyen, d’une part, le témoignage de S.________, comptable auprès de sa fiduciaire, et, d’autre part, celui de K.________, ancienne conseillère à l’ORP de [...]. La première a admis que la conclusion d’une assurance perte de gain était obligatoire. Cette connaissance est imputable à son représenté, soit l’appelant, ce qui clôt déjà le débat sur ce point. Pour le surplus et comme on l’a vu, le témoignage de sa comptable, vu ses liens avec l’appelant, ne saurait être retenu en sa faveur sans être corroboré par d’autres éléments. Or, en l’état, l’appelant n’en avance pas. La témoin a indiqué ne pas avoir bien les éléments du dossier en tête, n’a pas confirmé les faits qui précèdent et a pour le surplus déclaré que « de manière générale, je ne vais en tout cas pas dire à l’employeur de ne pas faire d’assurance [perte] de gain ». Que l’ORP ou la Caisse n’ait prétendument pas réagi lorsque l’appelant indiquait sur les formulaires de gain intermédiaire que l’intimé n’était pas assujetti à une CCT n'est quant à lui pas propre à établir que l’appelant n’a commis aucune faute. D’une part, il appartenait à ce dernier de connaître ses obligations en matière de droit du travail et non à un office actif en matière de chômage de les lui rappeler, alors qu’en outre, il bénéficiait sur ce point des conseils d’une fiduciaire. D’autre part, par sa fiduciaire justement, il était au courant de son obligation d’assurer l’intimé pour la perte de gain en cas de maladie. Le fait que ce dernier puisse toucher certains mois, en plus de son salaire, des indemnités chômage, ne change rien au fait que l’appelant restait tenu de ses obligations d’employeur. Il ne saurait ainsi utiliser cette circonstance pour s’en délier aux frais de la Caisse ou de l’ORP, n’étant au demeurant aucunement établi que ceux-ci lui auraient affirmé qu’il n’avait pas à conclure d’assurance prescrite par la CN 2012-2015 car parfois l’intimé touchait le chômage.</w:t>
      </w:r>
    </w:p>
    <w:p>
      <w:r>
        <w:rPr>
          <w:b/>
        </w:rPr>
        <w:t>E. 5.3.2</w:t>
      </w:r>
    </w:p>
    <w:p>
      <w:r>
        <w:t>L’appelant invoque encore que l’intimé aurait « toujours » refusé qu’il conclut une assurance perte de gain maladie en sa faveur. La sollicitation de l’intimé sur ce point par l’appelant n’est pas prouvée, le témoignage de la fiduciaire n’étant pas à lui seul probant pour les motifs qui précèdent. Elle n’est au demeurant pas même vraisemblable. Dès lors que l’appelant affirme qu’il ne devait pas conclure d’assurance perte de gain, on voit mal qu’il l’ait proposé spontanément à l’intimé, qu’il estimait n’être même pas son employé. Pour le surplus, l’appelant n’établit pas non plus que l’intimé, sollicité, aurait refusé, qui plus est « toujours », soit à plusieurs reprises, d’être assuré. Enfin, on relèvera que l’obligation de l’employeur d’assurer ses employés incombe à l’employeur et n’implique aucunement un accord de leur employé sur le principe de l’affiliation, l’art. 64 al. 1 CN 2012-2015 prévoyant que « l’employeur doit conclure une assurance d’indemnité journalière en cas de maladie au profit des travailleurs soumis à la CN ». Dans ces conditions, le grief de l’appelant tendant à ce qu’il soit retenu qu’il avait prouvé n’avoir pas commis de faute en omettant d’assurer l’intimé pour la perte de gain est infondé.</w:t>
      </w:r>
    </w:p>
    <w:p>
      <w:r>
        <w:rPr>
          <w:b/>
        </w:rPr>
        <w:t>E. 5.4</w:t>
      </w:r>
    </w:p>
    <w:p>
      <w:r>
        <w:t>L’appelant conteste ensuite l’existence d’un rapport de causalité naturelle et adéquate.</w:t>
      </w:r>
    </w:p>
    <w:p>
      <w:r>
        <w:rPr>
          <w:b/>
        </w:rPr>
        <w:t>E. 5.4.1</w:t>
      </w:r>
    </w:p>
    <w:p>
      <w:r>
        <w:t>Un rapport de causalité naturelle relie un comportement dommageable au préjudice allégué lorsque, sans le premier (condition sine qua non ), le second ne serait pas survenu, ou pas de la même façon. Celui-là est une condition nécessaire du résultat, mais pas forcément la cause unique et immédiate. Le comportement incriminé est en outre la cause adéquate d’un dommage si, d’après le cours ordinaire des choses et l’expérience générale de la vie, il était propre à provoquer le résultat qui s’est produit, de sorte que la survenance de celui-ci paraît, de façon générale, favorisée par celui-là. A ce stade, le juge doit sélectionner, dans la chaîne des causes, celle(s) qui revête(nt) un caractère prépondérant, une certaine typicité ; il opère ainsi un jugement de valeur et détermine s’il est encore équitable (art. 4 CC) de faire supporter une responsabilité au défendeur.</w:t>
      </w:r>
    </w:p>
    <w:p>
      <w:r>
        <w:rPr>
          <w:b/>
        </w:rPr>
        <w:t>E. 5.4.2</w:t>
      </w:r>
    </w:p>
    <w:p>
      <w:r>
        <w:t>En l’espèce, le rapport de causalité doit exister entre l’omission fautive de l’appelant de conclure pour l’intimé une assurance d’indemnité journalière en cas de maladie et la perte de gain que celui-ci a subie du fait qu’il n’avait pas été assuré. Que « l’expertise ait établi que l’événement du 2 avril 2014 n’était pas la cause de la rupture massive de la coiffe des rotateurs de l’épaule gauche » (appel, p. 7) est ainsi sans pertinence ici.</w:t>
      </w:r>
    </w:p>
    <w:p>
      <w:r>
        <w:rPr>
          <w:b/>
        </w:rPr>
        <w:t>E. 5.4.3</w:t>
      </w:r>
    </w:p>
    <w:p>
      <w:r>
        <w:t>Pour le surplus, l’appelant affirme qu’au vu du « résultat de l’expertise », il ne fait aucun doute qu’une souscription de l’intimé à une assurance perte de gain maladie n’aurait de toute évidence pas été possible. Au regard de sa « maladie préexistante », l’intimé n’était pas assurable, à tout le moins se serait vu imposer une réserve d’assurance. Ici encore, l’appelant, pourtant assisté, n’apporte pas le moindre fondement juridique à son argumentation. On peut se borner à retenir que selon l’expert N.________ qu’il cite justement, la maladie en question était une maladie silencieuse orthopédique qui est asymptomatique jusqu’à l’infarctus inaugural. En d’autres termes, cette maladie n’était pas connue de l’intimé, rien ne permettant au demeurant de le retenir. Dans ces circonstances, on ne voit pas que celui-ci, si un formulaire d’assurance avait été rempli, l’ait indiqué ou dû l’indiquer de sorte qu’une couverture d’assurance puisse lui être refusé ou une réserve imposée. Le grief est par conséquent infondé.</w:t>
      </w:r>
    </w:p>
    <w:p>
      <w:r>
        <w:rPr>
          <w:b/>
        </w:rPr>
        <w:t>E. 5.5</w:t>
      </w:r>
    </w:p>
    <w:p>
      <w:r>
        <w:t>L’appelant invoque encore la causalité entre l’incident et la lésion subie qui ne serait pas réalisée. La causalité est toutefois sans pertinence ici, la seule question déterminante étant de savoir, comme dit ci-dessus, si l’omission de l’appelant de conclure une assurance perte de gain maladie se trouve dans un rapport de causalité naturelle et adéquate avec la perte de gain subie par l’intimé du fait qu’il n’avait pas été assuré. Ainsi, l’argument tombe à faux.</w:t>
      </w:r>
    </w:p>
    <w:p>
      <w:r>
        <w:rPr>
          <w:b/>
        </w:rPr>
        <w:t>E. 6.1</w:t>
      </w:r>
    </w:p>
    <w:p>
      <w:r>
        <w:t>L’appelant soulève une violation de l’art. 64 al. 1 et 3 CN 2012-2015 et conteste le montant de 65'677 fr. 50 résultant de la violation par lui de son obligation d’assurer l’intimé.</w:t>
      </w:r>
    </w:p>
    <w:p>
      <w:r>
        <w:rPr>
          <w:b/>
        </w:rPr>
        <w:t>E. 6.2</w:t>
      </w:r>
    </w:p>
    <w:p>
      <w:r>
        <w:t>L’art. 64 al. 1 CN 2012-2015 prévoit que l’entreprise doit assurer collectivement les travailleurs soumis à la CN pour une indemnité journalière (perte de gain) de 90% du dernier salaire normal versé selon l’horaire de travail contractuel. Il est d’emblée relevé que le passage de 80 à 90% de couverture dans la CN semble n’avoir pas été adopté en 2012, mais par modification du 15 janvier 2013 (cf. FF 2013-0030). L’alinéa 3 de cette disposition indique les conditions d’assurance qui doivent être prévues au minimum, notamment s’agissant des indemnités journalières en cas de maladie ou d’incapacité partielle de travailler.</w:t>
      </w:r>
    </w:p>
    <w:p>
      <w:r>
        <w:rPr>
          <w:b/>
        </w:rPr>
        <w:t>E. 6.3</w:t>
      </w:r>
    </w:p>
    <w:p>
      <w:r>
        <w:t>Les premiers juges ont estimé que l’appelant devait indemniser l’intimé à concurrence de 90% de son salaire pour la période du 4 avril 2014 au 31 août 2014. Ils ont ensuite retenu une moyenne de 7,67 heures de travail par jour effectuée par l’intimé, soit 38,35 heures de travail hebdomadaires. Ils en ont déduit que le salaire annuel de l’intimé était de 61'221 fr. 95 (30 fr. 70 x 38,85 heures x 52 semaines) et ont donc, sur cette base, retenu une indemnité journalière en cas de maladie (perte de gain) de 150 fr. 95 (61'221 fr. 95 x 90% / 365 jours) pour la première période d’incapacité de travail de l’intimé, et de 75 fr. 50 (61'221 fr. 95 x 45% / 365 jours) pour la seconde période d’incapacité de travail de l’intimé.</w:t>
      </w:r>
    </w:p>
    <w:p>
      <w:r>
        <w:rPr>
          <w:b/>
        </w:rPr>
        <w:t>E. 6.4.1</w:t>
      </w:r>
    </w:p>
    <w:p>
      <w:r>
        <w:t>En calculant le salaire annuel de l’intimé de la sorte, les premiers juges ont toutefois fait abstraction du fait que l’intimé n’a travaillé que neuf mois sur douze et n’ont donc pas tenu compte des mois non travaillés. Ils ont donc fixé des indemnités journalières supérieures à celles que l’intimé aurait effectivement touchées s’il n’avait pas été blessé, ce qui n’est pas correct.</w:t>
      </w:r>
    </w:p>
    <w:p>
      <w:r>
        <w:rPr>
          <w:b/>
        </w:rPr>
        <w:t>E. 6.4.2</w:t>
      </w:r>
    </w:p>
    <w:p>
      <w:r>
        <w:t>Afin de calculer l’indemnité journalière dont l’intimé a été privé, il y a lieu de se baser sur l’art. 47 CN 2012-2015 relatif à la rémunération et au paiement du salaire. Son alinéa 1 prévoit que lorsque le salaire est payé selon les heures de travail effectuées et que les rapports de travail ont duré plus de sept mois consécutifs, il faut convertir les heures en une durée mensuelle moyenne de manière à ce qu’un salaire mensuel constant soit versé. Pour cela, on procède au calcul suivant : salaire horaire multiplié par le total des heures annuelles divisé par douze.</w:t>
      </w:r>
    </w:p>
    <w:p>
      <w:r>
        <w:rPr>
          <w:b/>
        </w:rPr>
        <w:t>E. 6.4.3</w:t>
      </w:r>
    </w:p>
    <w:p>
      <w:r>
        <w:t>En l’état, les rapports de travail ont duré plus de sept mois. L’intimé a effectué son premier jour de travail le 13 mars 2013 selon l’attestation de gain intermédiaire signé par l’appelant. Il a cessé de travailler le 2 avril 2014, jour de son accident. Il faut donc prendre en compte les heures effectuées entre le 13 mars 2013 et le 13 mars 2014, soit, selon le jugement entrepris, 1'479 heures au total (cf. supra p. 5 ch. 5). S’agissant du mois de mars 2014, selon la déclaration de gain intermédiaire, il n’a pas travaillé avant le 26 mars, de sorte que ce mois-ci est sans pertinence, en raison de la période choisie du 13 mars 2013 au 13 mars 2014. Le total des heures effectuées s’élève ainsi à 1'433,50 heures. Le salaire horaire brut retenu par l’autorité précédente, non contesté, est de 30 fr. 70. Cela donne donc un salaire mensuel constant de 3'667 fr. 35 (30 fr. 70 x 1'433,50 heures / 12 mois). On n’y ajoutera pas le treizième salaire, par ailleurs non requis par l’intimé à l’appel, dès lors qu’un abandon de poste a été retenu dès l’incapacité de travail (jugement, p. 45). On aboutit ainsi à un salaire annualisé de 44'008 fr. 50 (3'667 fr. 35 x 12). Multiplié par 90%, puis divisé par 365 jours, on obtient une indemnité journalière brute de 108 fr. 50 pour la période du 4 avril au 31 août 2014, période d’incapacité de travail à 100%, ensuite et jusqu’au 24 mars 2016, où l’incapacité de travail n’était que de 50%, c’est une indemnité journalière brute de 54 fr. 25 qui devra être versée, ce sous déduction des charges sociales légales et conventionnelles. Le montant dû par l’appelant s’élève ainsi à 150 jours effectifs x 108 fr. 50 + 570 jours x 54 fr. 25, soit 16'275 fr. + 30'922 fr. 50, soit 47'197 fr. 50, sous déduction des charges sociales légales et conventionnelles éventuelles. Partant, l’appel doit être partiellement admis sur ce point.</w:t>
      </w:r>
    </w:p>
    <w:p>
      <w:r>
        <w:rPr>
          <w:b/>
        </w:rPr>
        <w:t>E. 7</w:t>
      </w:r>
    </w:p>
    <w:p>
      <w:r>
        <w:t>L’appelant se plaint que l’autorité précédente ait accordé à l’intimé un treizième salaire pour la période durant laquelle il a travaillé. Comme exposé ci-dessus, la CN 2012-2015 est applicable de sorte que l’intimé avait droit à un treizième salaire selon l’art. 49 CN 2012-2015 qui prévoit que les travailleurs ont droit, dès la prise d’emploi, à un 13 ème mois de salaire. Que sa fiduciaire se soit trompée sur ce point ou que les parties ne l’aient pas prévu n’est ici d’aucune pertinence. Le prétendu statut de l’intimé, selon l’appelant, engagé en gain intermédiaire ou sur appel, non établi concernant ce dernier point, n’empêche pas non plus l’application des dispositions protectrices de la CN 2012-2015 et notamment de son art. 49. Pour le surplus, l’appelant ne conteste pas le calcul opéré par les premiers juges pour établir le montant dû à ce titre. Il n’y a partant pas lieu d’y revenir. Ce grief doit ainsi être rejeté.</w:t>
      </w:r>
    </w:p>
    <w:p>
      <w:r>
        <w:rPr>
          <w:b/>
        </w:rPr>
        <w:t>E. 8</w:t>
      </w:r>
    </w:p>
    <w:p>
      <w:r>
        <w:t>L’appelant conteste le rejet de ses prétentions reconventionnelles, par 16'498 fr., fondées sur le remboursement de prêts qu’il aurait accordés à l’intimé. Conformément à l’art. 8 CC, il appartenait à l’appelant d’établir la réalité des prêts accordés. Le décompte produit par ses soins ne constitue qu’une déclaration de partie (Juge unique CACI 13 septembre 2022/461 consid. 8.2.3.1), faite en pleine procédure, ni signée ni datée par personne, correspondant à une liste de montants sans précision de date des « prêts » notamment, sauf deux exceptions, qui n’est aucunement propre à établir l’existence de prêt d’une part, de leur quotité d’autre part. Pour le surplus, le témoignage de sa fiduciaire n’est pas non plus probant de la dette invoquée. D’une part, la fiduciaire parle de cadeaux puis de prêts. Or les premiers ne sauraient fonder une dette de la part de l’intimé. Alors qu’il s’agit ensuite du témoignage d’une fiduciaire, a priori précis, elle invoque que les prêts s’élèveraient entre 15'000 fr. et 20'000 francs. En somme, elle n’en sait rien et ne fait que répondre dans le sens demandé par l’appelant avec qui elle est personnellement en relation d’affaire depuis 30 ans. Un tel témoignage n’est pas suffisant à établir la dette réclamée par l’appelant. Le grief est partant infondé.</w:t>
      </w:r>
    </w:p>
    <w:p>
      <w:r>
        <w:rPr>
          <w:b/>
        </w:rPr>
        <w:t>E. 9.1</w:t>
      </w:r>
    </w:p>
    <w:p>
      <w:r>
        <w:t>Au vu de ce qui précède, l’appel doit être partiellement admis et le chiffre I du jugement entrepris reformé en ce sens que le montant de 65'677 fr. 50 accordé au chiffre I du dispositif est réduit à 47'197 fr. 50. Le jugement est confirmé pour le surplus et notamment sur les frais et dépens, la modification du chiffre I ne justifiant pas, vu les conclusions prises de part et d’autre et les suites qui ont été données, de changement sur ce point.</w:t>
      </w:r>
    </w:p>
    <w:p>
      <w:r>
        <w:rPr>
          <w:b/>
        </w:rPr>
        <w:t>E. 9.2</w:t>
      </w:r>
    </w:p>
    <w:p>
      <w:r>
        <w:t>S’agissant des frais et dépens de deuxième instance, l’appelant concluait dans son appel à la suppression des montants de 65'677 fr. 50, de 3'652 fr. 70 et de 115 fr. 95 et à se voir reconnaître une créance de 16'498 fr., soit un total de 85'944 fr. 15. Il n’obtient que la réduction du premier montant de 18'480 fr., soit 20% de ses prétentions. Les frais judiciaires en deuxième instance, arrêtés à 929 fr. 70 (art. 62 et 67 al. 3 TFJC [Tarif des frais judiciaires civils du 28 septembre 2010 ; BLV 270.11.5]), sont par conséquent mis à la charge de l’appelant par 743 fr. 75 et à la charge de l’intimé par 185 fr. 95 (art. 106 al. 2 CPC). Vu le bénéfice de l’assistance judiciaire accordée à chacune des parties ci-dessous (cf. consid. 9.3), ces montants sont temporairement laissés à la charge de l’Etat. S’agissant des dépens, on peut les arrêter à 1'800 fr. par partie (art. 3 et 7 TDC [Tarif des dépens en matière civile ; BLV 270.11.6]). L’appelant versera par conséquent à l’intimé un montant de 1'080 fr. (80% de 1'800 fr. – 20% de 1'800 fr.) à titre de dépens réduits.</w:t>
      </w:r>
    </w:p>
    <w:p>
      <w:r>
        <w:rPr>
          <w:b/>
        </w:rPr>
        <w:t>E. 9.3.1</w:t>
      </w:r>
    </w:p>
    <w:p>
      <w:r>
        <w:t>L’appelant et l’intimé ont requis le bénéfice de l’assistance judiciaire pour la procédure d’appel.</w:t>
      </w:r>
    </w:p>
    <w:p>
      <w:r>
        <w:rPr>
          <w:b/>
        </w:rPr>
        <w:t>E. 9.3.2</w:t>
      </w:r>
    </w:p>
    <w:p>
      <w:r>
        <w:t>L’assistance judiciaire doit faire l’objet d’une nouvelle requête en deuxième instance (art. 119 al. 5 CPC).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w:t>
      </w:r>
    </w:p>
    <w:p>
      <w:r>
        <w:rPr>
          <w:b/>
        </w:rPr>
        <w:t>E. 9.3.3</w:t>
      </w:r>
    </w:p>
    <w:p>
      <w:r>
        <w:t>En l’espèce, tant l’appelant que l’intimé remplissent les conditions de l’art. 117 CPC, si bien que leurs requêtes respectives d’assistance judiciaire peuvent être admises, avec effet au 2 octobre 2023 pour les deux.</w:t>
      </w:r>
    </w:p>
    <w:p>
      <w:r>
        <w:rPr>
          <w:b/>
        </w:rPr>
        <w:t>E. 9.3.4.1</w:t>
      </w:r>
    </w:p>
    <w:p>
      <w:r>
        <w:t>En leur qualité de conseils d’office des parties, Me Fabien Hohenauer et Me Christian Favre ont respectivement droit à une rémunération équitable pour leurs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 [Règlement du 7 décembre 2010 sur l’assistance judiciaire en matière civile ; BLV 211.02.3]).</w:t>
      </w:r>
    </w:p>
    <w:p>
      <w:r>
        <w:rPr>
          <w:b/>
        </w:rPr>
        <w:t>E. 9.3.4.2</w:t>
      </w:r>
    </w:p>
    <w:p>
      <w:r>
        <w:t>Dans sa liste d’opérations du 14 mai 2024, Me Fabien Hohenauer a indiqué que sa collaboratrice et lui avaient consacré 27 heures au dossier d’appel, dont 25h30 exclusivement consacrées à la rédaction et à la finalisation du mémoire d’appel. Ce nombre d’heures apparaît largement excessif au regard notamment de la nature du dossier, de la difficulté de la cause et du fait que deux avocats brevetés, présents déjà en première instance, sont intervenus dans la rédaction du mémoire d’appel de 15 pages, l’Etat de Vaud n’a en outre pas à payer, dans le cadre de l’assistance judiciaire, le travail de deux avocats d’office. Le temps annoncé doit donc être réduit à 10 heures. Il s’ensuit, qu’au tarif horaire de 180 fr., l’indemnité de Me Fabien Hohenauer doit être fixée à 1’800 fr., correspondant à 10 heures de travail, montant auquel il convient d’ajouter des débours par 36 fr. (2% x 1’800 fr. [art. 3bis al. 1 RAJ]) ainsi que la TVA à 141 fr. 35 ([1’800 fr. + 36 fr.] x 7.7%), soit 1’977 fr. 35 au total.</w:t>
      </w:r>
    </w:p>
    <w:p>
      <w:r>
        <w:rPr>
          <w:b/>
        </w:rPr>
        <w:t>E. 9.3.4.3</w:t>
      </w:r>
    </w:p>
    <w:p>
      <w:r>
        <w:t>Dans sa liste d’opérations du 25 avril 2024, Me Christian Favre a indiqué avoir consacré 8,92 heures au dossier d’appel. Vu la nature du litige et les difficultés de la cause, ce temps peut être admis. Il s’ensuit qu’au tarif horaire de 180 fr., l’indemnité de Me Christian Favre doit être fixée à 1'605 fr. 60, montant auquel il convient d’ajouter des débours par 32 fr. 10 (2% x 1'605 fr. 60 [art. 3bis al. 1 RAJ]) ainsi que la TVA à 99 fr. 95 pour 2023 ([7,07h x 180 fr. + 2%] x 7.7%) et la TVA à 27 fr. 50 pour 2024 ([1,85h x 180 fr. + 2%] x 8.1%), soit un montant de 1'765 fr. 15 au total.</w:t>
      </w:r>
    </w:p>
    <w:p>
      <w:r>
        <w:rPr>
          <w:b/>
        </w:rPr>
        <w:t>E. 9.3.5</w:t>
      </w:r>
    </w:p>
    <w:p>
      <w:r>
        <w:t>Les bénéficiaires de l'assistance judiciaire sont tenus au remboursement des frais judiciaires et de l'indemnité à leur conseil d'office, laissés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