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323 vom 13. Mai 2024</w:t>
      </w:r>
    </w:p>
    <w:p>
      <w:r>
        <w:t>VD Tribunal cantonal, 2024-05-13, FR</w:t>
      </w:r>
    </w:p>
    <w:p>
      <w:r>
        <w:rPr>
          <w:b/>
        </w:rPr>
        <w:t xml:space="preserve">Quelle: </w:t>
      </w:r>
      <w:r>
        <w:t>https://mcp.opencaselaw.ch/entscheid/vd_findinfo_HC___2024___323</w:t>
      </w:r>
    </w:p>
    <w:p>
      <w:r>
        <w:t>FR: VD_FINDINFO HC / 2024 / 323 du 13 mai 2024</w:t>
      </w:r>
    </w:p>
    <w:p>
      <w:r>
        <w:t>IT: VD_FINDINFO HC / 2024 / 323 del 13 maggio 2024</w:t>
      </w:r>
    </w:p>
    <w:p>
      <w:pPr>
        <w:pStyle w:val="Heading2"/>
      </w:pPr>
      <w:r>
        <w:t>Regeste</w:t>
      </w:r>
    </w:p>
    <w:p>
      <w:r>
        <w:t>OBLIGATION D'ENTRETIEN, RÉTROACTIVITÉ | 279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au bénéfice d’un intérêt digne de protection (art. 59 al. 2 let. a CPC) et portant sur des conclusions patrimoniales supérieures à 10'000 fr., l’appel est recevable.</w:t>
      </w:r>
    </w:p>
    <w:p>
      <w:r>
        <w:rPr>
          <w:b/>
        </w:rPr>
        <w:t>E. 2</w:t>
      </w:r>
    </w:p>
    <w:p>
      <w:r>
        <w:t>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En premier lieu, l’appelante reproche à la présidente de ne pas avoir ratifié la convention d’entretien passée sous seing privé par les parties – mais devant un avocat conjointement mandaté – le 16 octobre 2015 au Portugal. Elle soutient que c’est après mûre réflexion et de leur plein gré que les parties l’ont conclue. Elle en veut pour preuve que l’intimé a réglé durant des années la pension prévue de EUR 75.-, sans jamais contester le montant, reconnaissant implicitement qu’elle était due à tout le moins dès la signature de l’acte le 16 octobre 2015. La ratification de cette convention interviendrait ainsi dans l’intérêt de l’enfant, dans la mesure où l’obligation d’entretien de l’intimé remonterait au mois de novembre 2014, soit une année avant la signature de la convention, subsidiairement à la date de celle-ci, à tout le moins.</w:t>
      </w:r>
    </w:p>
    <w:p>
      <w:r>
        <w:rPr>
          <w:b/>
        </w:rPr>
        <w:t>E. 3.2</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 procédure de divorce ou de la fixation des contributions à l’entretien des enfants (Stoudmann, Le divorce en pratique, Lausanne 2023, 2 e éd., p. 429 et les réf. cit.).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3.3</w:t>
      </w:r>
    </w:p>
    <w:p>
      <w:r>
        <w:t>En demandant la ratification de la convention passée sous seing privé le 16 octobre 2015, l’appelante requiert en réalité le prononcé d’une décision judiciaire fixant une contribution d’entretien avec effet rétroactif bien au-delà de l’année précédant l’ouverture de l’action, telle que le prévoit l’art. 279 CC. Ainsi, indépendamment du fait que la première juge ne saurait avoir la possibilité de vérifier a posteriori la réalisation des conditions nécessaires à la ratification d’une telle convention conformément aux prescriptions de l’art. 279 CPC, applicable par analogie (CACI 26 janvier 2023/33 consid. 1.3 et les réf. cit.), comme l’a retenu à raison l’autorité de première instance, faire droit à l’appelante reviendrait à excéder de plusieurs années la limite légale de l’effet rétroactif autorisé dans le cadre des actions alimentaires, ce qui n’est pas admissible. Le moyen est dès lors infondé.</w:t>
      </w:r>
    </w:p>
    <w:p>
      <w:r>
        <w:rPr>
          <w:b/>
        </w:rPr>
        <w:t>E. 4.1</w:t>
      </w:r>
    </w:p>
    <w:p>
      <w:r>
        <w:t>L’appelante reproche ensuite à la présidente de ne pas avoir astreint l’intimé à s’acquitter de la contribution d’entretien de EUR 225.- en faveur de l’enfant, arrêtée dans le jugement au fond, pour la période allant du 1 er mai 2020 au 30 avril 2021, conformément à l’effet rétroactif d’un an accordé par l’art. 279 CC à compter de la date de l’ouverture de l’action, soit en l’espèce le 22 avril 2021. Elle fait valoir que l’ordonnance de mesures provisionnelles du 13 avril 2022 avait pour vocation de régler le sort des parties pour la durée de la procédure, soit du 1 er mai 2021 jusqu’à la date d’exequatur du jugement, et que la période antérieure ne saurait bénéficier de la force de chose jugée.</w:t>
      </w:r>
    </w:p>
    <w:p>
      <w:r>
        <w:rPr>
          <w:b/>
        </w:rPr>
        <w:t>E. 4.2</w:t>
      </w:r>
    </w:p>
    <w:p>
      <w:r>
        <w:t>Les mesures provisionnelles déploient leurs effets jusqu'à l'entrée en force du jugement sur le fond (ATF 130 I 347 consid. 3.2 ; ATF 128 III 121 consid. 3c/bb ; TF 5A_725/2008 du 6 août 2009 consid. 3.1.3). Les décisions qui les prononcent sont en principe assimilables aux décisions ordinaires en ce qui concerne leur force de chose jugée formelle, en ce sens qu'elles entrent formellement en force à l'expiration du délai de recours et ne peuvent donc être plus révoquées ou modifiées de manière rétroactive, sous réserve d'une révision selon les art. 328 ss CPC (ATF 141 III 376 consid. 3.3.4 ; ATF 141 III 43 consid. 2.5.2 ; voir également ATF 127 III 496 consid. 3a et 3b/bb). Dans le cadre du divorce, la jurisprudence retient que la possibilité pour le juge d'allouer une contribution d'entretien à une date antérieure à l'entrée en force partielle du jugement de divorce n'est pas ouverte pour les cas dans lesquels des mesures provisionnelles ont été ordonnées pour la durée de la procédure de divorce. Dans ces situations, le juge du divorce ne peut pas fixer le dies a quo de la contribution d'entretien post-divorce à une date antérieure à l'entrée en force partielle du jugement de divorce. En effet, les mesures provisionnelles ordonnées pendant la procédure de divorce jouissent d'une autorité de la chose jugée restreinte, en ce sens qu'elles déploient leurs effets pour la durée du procès, aussi longtemps qu'elles n'ont pas été modifiées, de sorte que le jugement de divorce ne peut pas revenir rétroactivement sur ces mesures (ATF 145 III 36 consid. 2.4 ; ATF 142 III 193 consid. 5.3 ; ATF 141 III 376 consid. 3.3.4 ; ATF 127 III 496 consid. 3a et les réf. citées). Elles sont supprimées et remplacées par celles fixées dans le jugement de divorce, dès que celui-ci est formellement exécutoire en ce qui concerne la réglementation de l'entretien (ATF 146 III 284 consid. 2.2 et les réf. citées ; TF 5A_19/2019 du 18 février 2020 consid. 1 ; voir également ATF 145 III 36 consid. 2.4) (sur le tout : TF 5A_712/2021 du 23 mai 2022 consid. 7.3.2.2). On ne voit pas pour quelles raisons ces principes sur l'absence de rétroactivité du jugement au fond lorsque des mesures provisionnelles ont été prononcées pour la durée de la procédure de divorce ne s'appliqueraient pas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(sur le tout : TF 5A_712/2021 précité consid. 7.3.2.3).</w:t>
      </w:r>
    </w:p>
    <w:p>
      <w:r>
        <w:rPr>
          <w:b/>
        </w:rPr>
        <w:t>E. 4.3.1</w:t>
      </w:r>
    </w:p>
    <w:p>
      <w:r>
        <w:t>Acceptant l’idée que la contribution d’entretien fixée provisionnellement ne peut être revue dans le cadre du jugement au fond, l’appelante entend faire fixer la pension rétroactivement pour l’année qui précède l’ouverture d’action, dès lors que cette période n’est pas couverte par la contribution d’entretien fixée à titre provisionnel. De son côté, la première juge s’est fondée sur la jurisprudence du Tribunal fédéral pour affirmer qu’elle ne pouvait pas revoir la contribution d’entretien antérieure à l’entrée en force du jugement au fond, dès lors qu’elle avait rendu des mesures provisionnelles fixant une telle contribution (cf. jugement, p. 14).</w:t>
      </w:r>
    </w:p>
    <w:p>
      <w:r>
        <w:rPr>
          <w:b/>
        </w:rPr>
        <w:t>E. 4.3.2</w:t>
      </w:r>
    </w:p>
    <w:p>
      <w:r>
        <w:t>Revoir le montant de la contribution d’entretien fixée à titre provisionnel est exclu catégoriquement par la jurisprudence. En revanche, la période comprise entre le 1 er mai 2020 et le 30 avril 2021 n’a pas été tranchée. Etant donné l’étendue de son pouvoir d’examen en la matière, laquelle relève de la maxime inquisitoire illimitée, il serait envisageable de considérer que la présidente n’était pas liée par les conclusions provisionnelles prises par l’appelante et qu’elle aurait pu statuer d’office sur cette question, ce qui pourrait conduire à admettre que l’ordonnance de mesures provisionnelles aurait force de chose jugée sur l’effet rétroactif qui n’aurait pas été accordé à titre provisionnel.</w:t>
      </w:r>
    </w:p>
    <w:p>
      <w:r>
        <w:rPr>
          <w:b/>
        </w:rPr>
        <w:t>E. 4.3.3</w:t>
      </w:r>
    </w:p>
    <w:p>
      <w:r>
        <w:t>Une telle analyse procéderait néanmoins d’une interprétation par trop extensive des mesures provisionnelles rendues le 13 avril 2022. Il y a plutôt lieu de considérer que le premier juge n’a jamais tranché par voie de mesures provisionnelles la question de l’effet rétroactif de la contribution d’entretien réclamée au fond. Dans ces conditions, on ne saurait considérer que l’ordonnance de mesures provisionnelles jouirait de l’autorité de la chose jugée sur cette question, ce qui laisserait à l’autorité de jugement la faculté d’en décider librement dans le cadre de sa décision au fond. Il n’existe aucun motif à même de justifier que l’intimé puisse être dispensé de l’entretien de l’enfant pour l’année précédant l’ouverture d’action. Cet entretien n’a pas à être assumé de manière exclusive par l’appelante qui le prend déjà en charge personnellement et qui fournit par conséquent complètement sa contribution à l’entretien en nature (ATF 147 III 265 consid. 5.5 non traduit in SJ 2021 I 316 ; TF 5A_534/2021 du 5 septembre 2022 consid. 3.1). Par conséquent, le dispositif du jugement querellé sera complété en ce sens que l’intimé doit être astreint à contribuer à l’entretien de son fils par le versement d’une pension mensuelle de EUR 225.-, éventuelles allocations familiales en sus, en mains de l’appelante, pour la période allant du 1 er mai 2020 au 30 avril 2021.</w:t>
      </w:r>
    </w:p>
    <w:p>
      <w:r>
        <w:rPr>
          <w:b/>
        </w:rPr>
        <w:t>E. 5.1</w:t>
      </w:r>
    </w:p>
    <w:p>
      <w:r>
        <w:t>Il s’ensuit que l’appel doit être partiellement admis et le jugement complété dans le sens du considérant qui précède.</w:t>
      </w:r>
    </w:p>
    <w:p>
      <w:r>
        <w:rPr>
          <w:b/>
        </w:rPr>
        <w:t>E. 5.2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En l’occurrence, le fait que l’appelante obtienne partiellement gain de cause en deuxième instance ne modifie pas fondamentalement le résultat auquel est parvenu le juge de première instance. En effet, on constate que l’appel a uniquement porté sur deux points précis du jugement litigieux, soit la ratification de la convention signée par les parties le 16 octobre 2015 et la rétroactivité de la contribution d’entretien de l’enfant mineur, pour laquelle l’appelante a obtenu gain de cause. Or, le jugement entrepris tranche également les questions – non contestées – de l’entretien convenable de l’enfant, de la situation financière des parties, du montant de la contribution d’entretien et de son indexation à l’indice suisse du prix à la consommation, ces points constituant la grande majorité des objets examinés par la présidente. Il n’y a ainsi pas lieu de modifier les frais de première instance.</w:t>
      </w:r>
    </w:p>
    <w:p>
      <w:r>
        <w:rPr>
          <w:b/>
        </w:rPr>
        <w:t>E. 5.3</w:t>
      </w:r>
    </w:p>
    <w:p>
      <w:r>
        <w:t>Vu le sort de l’appel, les frais judiciaires de deuxième instance, arrêtés à 600 fr. (émolument d'arrêt ; art. 63 al. 1 TFJC [tarif des frais judiciaires civils du 28 septembre 2010 ; BLV 270.11.5]), seront répartis par moitié entre les parties, à raison de 300 fr. chacune (art. 107 al. 1 let. c CPC). Au vu de l’issue de l’appel et de la clé de répartition pour les frais judiciaires, les dépens de deuxième instance seront compensés (art. 107 al. 1 let. c CPC).</w:t>
      </w:r>
    </w:p>
    <w:p>
      <w:r>
        <w:rPr>
          <w:b/>
        </w:rPr>
        <w:t>E. 5.4</w:t>
      </w:r>
    </w:p>
    <w:p>
      <w:r>
        <w:t>Aux termes de l’art. 117 CPC, une personne a droit à l’assistance judiciaire si elle ne dispose pas de ressources suffisantes (let. a) et si sa cause ne paraît pas dépourvue de toute chance de succès (let. b). En l’occurrence, les conditions de cette disposition sont remplies. La requête d'assistance judiciaire de l’appelante doit être admise avec effet au 28 avril 2023, Me Nathalie Fluri lui étant désignée en qualité de conseil d'office.</w:t>
      </w:r>
    </w:p>
    <w:p>
      <w:r>
        <w:rPr>
          <w:b/>
        </w:rPr>
        <w:t>E. 5.5</w:t>
      </w:r>
    </w:p>
    <w:p>
      <w:r>
        <w:t>En sa qualité de conseil d’office de l’appelante, Me Nathalie Fluri a droit à une rémunération équitable pour ses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Dans sa liste des opérations du 30 novembre 2023, Me Nathalie Fluri a indiqué avoir consacré</w:t>
      </w:r>
    </w:p>
    <w:p>
      <w:r>
        <w:rPr>
          <w:b/>
        </w:rPr>
        <w:t>E. 5.6</w:t>
      </w:r>
    </w:p>
    <w:p>
      <w:r>
        <w:t>La bénéficiaire de l’assistance judiciaire est tenue au remboursement de l’indemnité allouée à son conseil d’office, ainsi qu’aux frais judiciaires laissés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rPr>
          <w:b/>
        </w:rPr>
        <w:t>E. 9</w:t>
      </w:r>
    </w:p>
    <w:p>
      <w:r>
        <w:t>heures et 8 minutes au dossier d'appel. En particulier, 8 heures au total ont été consacrées à la rédaction, aux recherches juridiques, à la correction et à la finalisation de l’appel (3.5 heures + 2.5 heures + 2 heures). Cette durée est excessive au regard de la nature du litige et de sa difficulté, les deux questions juridiques soulevées étant précises et peu complexes. Ainsi, il y a lieu de réduire à 4 heures la durée nécessaire pour rédiger et corriger l’appel. Partant, c’est une durée de 5 heures et 8 minutes qui est déterminante pour fixer l’indemnité d’office. Il s'ensuit qu'au tarif horaire de 180 fr., l'indemnité de Me Nathalie Fluri doit être fixée à 1’016 fr. 35, soit 925 fr. 20 à titre d'honoraires (5.14 heures x 180 fr.), 18 fr. 50 de débours (2 % de 925 fr. 20) et 72 fr. 65 de TVA, laquelle est appliquée sur le tout (7.7 % de 943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