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306 vom 24. April 2024</w:t>
      </w:r>
    </w:p>
    <w:p>
      <w:r>
        <w:t>VD Tribunal cantonal, 2024-04-24, FR</w:t>
      </w:r>
    </w:p>
    <w:p>
      <w:r>
        <w:rPr>
          <w:b/>
        </w:rPr>
        <w:t xml:space="preserve">Quelle: </w:t>
      </w:r>
      <w:r>
        <w:t>https://mcp.opencaselaw.ch/entscheid/vd_findinfo_HC___2024___306</w:t>
      </w:r>
    </w:p>
    <w:p>
      <w:r>
        <w:t>FR: VD_FINDINFO HC / 2024 / 306 du 24 avril 2024</w:t>
      </w:r>
    </w:p>
    <w:p>
      <w:r>
        <w:t>IT: VD_FINDINFO HC / 2024 / 306 del 24 aprile 2024</w:t>
      </w:r>
    </w:p>
    <w:p>
      <w:pPr>
        <w:pStyle w:val="Heading2"/>
      </w:pPr>
      <w:r>
        <w:t>Regeste</w:t>
      </w:r>
    </w:p>
    <w:p>
      <w:r>
        <w:t>REJET DE LA DEMANDE, PRESTATION DE LIBRE PASSAGE, DIVORCE | 123 CC, 8 CC, 106 al. 1 CPC (CH)</w:t>
      </w:r>
    </w:p>
    <w:p>
      <w:pPr>
        <w:pStyle w:val="Heading2"/>
      </w:pPr>
      <w:r>
        <w:t>Erwägungen</w:t>
      </w:r>
    </w:p>
    <w:p>
      <w:r>
        <w:rPr>
          <w:b/>
        </w:rPr>
        <w:t>E. 1</w:t>
      </w:r>
    </w:p>
    <w:p>
      <w:r>
        <w:t>let. a CPC [Code de procédure civile du 19 décembre 2008 ; RS 272]), dans les causes non patrimoniales ou dont la valeur litigieuse, au dernier état des conclusions, est de 10'000 fr. au moins (art. 308 al. 2 CPC). L’appel, écrit et motivé, doit être introduit auprès de l’autorité d’appel, soit la Cour d’appel civile (art. 84 al. 1 LOJV [loi d’organisation judiciaire du 12 décembre 1979 ; BLV 173.011), dans les trente jours à compter de la notification de la décision motivée (art. 311 al. 1 CPC).</w:t>
      </w:r>
    </w:p>
    <w:p>
      <w:r>
        <w:rPr>
          <w:b/>
        </w:rPr>
        <w:t>E. 1.1.1</w:t>
      </w:r>
    </w:p>
    <w:p>
      <w:r>
        <w:t>L’appel est recevable contre les décisions finales de première instance (art. 308 al.</w:t>
      </w:r>
    </w:p>
    <w:p>
      <w:r>
        <w:rPr>
          <w:b/>
        </w:rPr>
        <w:t>E. 1.1.2</w:t>
      </w:r>
    </w:p>
    <w:p>
      <w:r>
        <w:t>L’acte mal intitulé peut en principe être traité comme l’écriture qui aurait dû être déposée pour autant qu’il contienne les éléments nécessaires de celle-ci. Ce principe, qui découle de la prohibition du formalisme excessif, s’applique ainsi de manière générale et donc également devant la deuxième instance cantonale (TF 5A_494/2015 du 18 janvier 2016 consid. 4.2.5). Cette condition est d’emblée réalisée en ce qui concerne un recours par rapport à un appel, étant donné les motifs recevables en appel (TF 5A_235/2023 du 19 avril 2023 consid. 2).</w:t>
      </w:r>
    </w:p>
    <w:p>
      <w:r>
        <w:rPr>
          <w:b/>
        </w:rPr>
        <w:t>E. 1.1.3</w:t>
      </w:r>
    </w:p>
    <w:p>
      <w:r>
        <w:t>Pour simplifier le procès, le juge peut ordonner une jonction de causes (art. 125 let. c CPC).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Bâle 2019, 2 e éd., n. 6 ad art. 125 CPC).</w:t>
      </w:r>
    </w:p>
    <w:p>
      <w:r>
        <w:rPr>
          <w:b/>
        </w:rPr>
        <w:t>E. 1.2</w:t>
      </w:r>
    </w:p>
    <w:p>
      <w:r>
        <w:t>Formé en temps utile contre une décision finale dans une cause patrimoniale dont la valeur litigieuse est supérieure à 10'000 fr. par une partie disposant d’un intérêt digne de protection (art. 59 al. 2 let. a CPC), l’appel est recevable.</w:t>
      </w:r>
    </w:p>
    <w:p>
      <w:r>
        <w:rPr>
          <w:b/>
        </w:rPr>
        <w:t>E. 1.3</w:t>
      </w:r>
    </w:p>
    <w:p>
      <w:r>
        <w:t>S’agissant du recours, dans la mesure où un appel au fond a été déposé, il doit être considéré également comme faisant partie de l’appel et non comme un recours séparé sur les frais, qui ne peut être déposé qu’en cas d’absence d’appel. Il convient donc de le convertir et de joindre les deux causes.</w:t>
      </w:r>
    </w:p>
    <w:p>
      <w:r>
        <w:rPr>
          <w:b/>
        </w:rPr>
        <w:t>E. 2.1</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(ATF 147 III 176 consid. 4.2.1 et 4.2.2, RSPC 2021 p. 252 ; TF 5A_873/2021 du 4 mars 2022 consid. 4.2 applicable en appel).</w:t>
      </w:r>
    </w:p>
    <w:p>
      <w:r>
        <w:rPr>
          <w:b/>
        </w:rPr>
        <w:t>E. 2.2.1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(TF 5A_146/2023 du 23 mai 2023 consid. 6.2.3.1 ; TF 5A_451/2020 du 31 mars 2021 consid. 3.1.1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Il 342, SJ 2017 I 460 ; TF 5A_823/2023 du 5 mars 2024 consid. 3.5 ; TF 5A_266/2015 du 24 juin 2015 consid. 2.2.2). En matière de prévoyance professionnelle liée au divorce, la maxime d’office et la maxime inquisitoire s’imposent uniquement devant le premier juge (TF 5A_882/2022 du 19 octobre 2023 consid. 3.2 ; TF 5A_952/2019 du 2 décembre 2020 consid. 3.3 ; TF 5A_407/2018 du 11 janvier 2019 consid. 5.3). Dans la procédure cantonale, l’admissibilité des nova est donc régie par l’art. 317 al. 1 CPC (TF 5A_392/2021 du 20 juillet 2021 consid. 3.4.1.1 et 3.4.1.2).</w:t>
      </w:r>
    </w:p>
    <w:p>
      <w:r>
        <w:rPr>
          <w:b/>
        </w:rPr>
        <w:t>E. 2.2.2</w:t>
      </w:r>
    </w:p>
    <w:p>
      <w:r>
        <w:t>L’appelant produit plusieurs pièces à l’appui de ses deux écritures. Les extraits de comptes d’avoirs de prévoyance relatifs aux avoirs de l’appelant et de l’intimée (pièces n os 2, 4 et 5 du bordereau de l’appel correspondant aux pièces n os</w:t>
      </w:r>
    </w:p>
    <w:p>
      <w:r>
        <w:rPr>
          <w:b/>
        </w:rPr>
        <w:t>E. 4</w:t>
      </w:r>
    </w:p>
    <w:p>
      <w:r>
        <w:t>à 6 du bordereau du recours) se recoupent avec ceux produits devant les premiers juges, si bien qu’ils sont recevables. Il en va de même du courrier du 14 juin 2023 adressé par l’appelant au tribunal (pièce n° 7 du bordereau de l’appel), respectivement du courriel du 3 mai 2023 de l’appelant au conseil de l’intimée (pièce n° 6 du bordereau de l’appel correspondant à la pièce n° 3 du bordereau du recours). En revanche, la proposition d’avenant à la convention de divorce est une pièce nouvelle (pièce n° 3 du bordereau de l’appel correspondant à la pièce n° 2 du bordereau du recours). L’appelant ne fait pas état des motifs qui justifieraient l’admission de cette pièce, si bien qu’elle est irrecevable. 3. 3.1 L’appelant conteste la manière dont les premiers juges ont calculé son avoir de prévoyance professionnelle, respectivement celui de l’intimée. 3.2 A teneur de l’art. 122 CC, les prétentions de prévoyance professionnelle acquises durant le mariage et jusqu’à l’introduction de la procédure de divorce sont partagées entre les époux. L’art. 123 al. 1 CC prévoit que les prestations de sortie acquises, y compris les avoirs de libre passage et les versements anticipés pour la propriété du logement, sont partagées par moitié. L’alinéa 3 de l’art. 123 CC indique que les prestations de sortie à partager se calculent conformément aux art. 15 à 17 et 22 a ou 22 b LFLP (loi fédérale du 17 décembre 1993 sur le libre passage dans la prévoyance professionnelle vieillesse, survivants et invalidité ; RS 831.42). Selon l’art. 22 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3.3 Aux termes de l’art. 8 CC, chaque partie doit, si la loi ne prescrit pas le contraire, prouver les faits qu’elle allègue pour en déduire son droit. Cette disposition répartit le fardeau de la preuve et détermine qui doit assumer les conséquences de l’échec de la preuve (ATF 139 III 7 consid. 2.2, SJ 2013 I 181 ; ATF 129 III 18 consid. 2.6, JdT 2006 I 191, SJ 2003 I 208 ; TF 4A_254/2021 du 21 décembre 2021 consid. 4.1). 3.4 3.4.1 L’appelant fait valoir en premier lieu que le montant de sa prestation de sortie devrait être réduit à hauteur de 20'000 fr., correspondant à un rachat effectué à l’aide de biens propres. Avec l’appelant, on doit constater que l’extrait de compte d’avoir de la R.________ le concernant mentionne un rachat intervenu le 29 décembre 2014. La source des fonds utilisés ne ressort toutefois pas de cette pièce, ni d’une autre figurant au dossier. Ce rachat ayant eu lieu durant le mariage, on ne saurait présumer que des biens propres auraient été utilisés à cette fin. Certes, l’appelant se réfère au projet d’avenant à la convention de divorce pour faire valoir que l’intimée aurait admis l’origine des fonds. Toutefois, non seulement cette pièce est irrecevable, mais encore celle-ci s’inscrit dans le cadre de pourparlers transactionnels et ne saurait dès lors constituer un aveu procédural quant à la nature des fonds utilisés, ceci d’autant plus qu’un tel aveu ne ressort aucunement du courrier du conseil de l’intimée du 26 mai 2023 portant expressément sur la question du partage des avoirs de prévoyance. En définitive, l’appelant échoue à prouver le fait dont il se prévaut, conformément à l’art. 8 CC. Par surabondance, on relèvera que l’appelant n’indique pas qu’il aurait fait valoir cette prétention devant les premiers juges. D’ailleurs, cela ne ressort pas de son courrier du 14 juin 2023 portant expressément sur ces questions. A défaut d’allégation en ce sens, l’appelant a ainsi violé son devoir de collaboration et ne saurait faire valoir ce moyen en appel. En définitive, le grief doit être écarté. 3.4.2 L’appelant soutient en second lieu que des intérêts sur un montant accumulé avant mariage auraient été pris en compte, dans le cadre de la prestation de sortie dont il disposerait auprès de T.________SA. Il ressort du jugement attaqué que deux montants ont été additionnés pour calculer la prestation de sortie totale de l’appelant, soit un montant de 125'698 fr. 01, correspondant à l’avoir disponible auprès de la R.________ et un montant de 5'861 fr. 65, correspondant à la différence entre la prestation de sortie au 15 novembre 2022 auprès de T.________SA et celle lors du mariage, y compris les intérêts (31'784 fr. 20 – 25'922 fr. 55). Au vu de ces éléments, le grief formulé par l’appelant ne peut être qu’écarté. En effet, il ressort expressément de l’attestation fournie par T.________SA que la prestation de sortie existante lors du mariage s’est vue augmentée des intérêts liés entre la date du mariage et celle retenue pour le partage des avoirs. Le solde, correspondant aux 5'861 fr. 65 pris en compte par les premiers juges, ne constitue donc pas des intérêts sur une somme accumulée avant mariage et c’est à juste titre qu’il a été intégré au calcul. Il convient de relever que l’appelant ne démontre pour le surplus pas que l’origine de ces fonds complémentaires proviendraient d’une activité professionnelle avant mariage et qu’ainsi l'attestation fournie par l’assureur serait erronée.</w:t>
      </w:r>
    </w:p>
    <w:p>
      <w:r>
        <w:rPr>
          <w:b/>
        </w:rPr>
        <w:t>E. 4.1</w:t>
      </w:r>
    </w:p>
    <w:p>
      <w:r>
        <w:t>L’appelant conteste encore la répartition des frais effectuée par les premiers juges ainsi que l’allocation de dépens à l’intimée.</w:t>
      </w:r>
    </w:p>
    <w:p>
      <w:r>
        <w:rPr>
          <w:b/>
        </w:rPr>
        <w:t>E. 4.2</w:t>
      </w:r>
    </w:p>
    <w:p>
      <w:r>
        <w:t>Selon l’art. 106 CPC, les frais sont mis à la charge de la partie succombante (al. 1, 1 re phrase) ; lorsqu’aucune des parties n’obtient entièrement gain de cause, ils sont répartis selon le sort de la cause (al. 2). Les frais comprennent les frais judiciaires et les dépens (art. 95 al. 1 CPC). Le tribunal peut toutefois s’écarter des règles érigées à l’art. 106 CPC et répartir les frais selon sa libre appréciation, en statuant selon les règles du droit et de l’équité (art. 4 CC), dans les hypothèses prévues par l’art. 107 CPC. Le tribunal dispose d’un large pouvoir d’appréciation non seulement quant à la manière dont les frais seront répartis, mais également quant aux dérogations à la règle générale de l’art. 106 CPC (ATF 139 III 358 consid. 3 ; TF 5D_108/2020 du 28 janvier 2021 consid. 3.1 et les réf. citées ; TF 5A_140/2019 du 5 juillet 2019 consid. 5.1.2). L’art. 107 CPC, en tant qu’exception, doit être appliqué restrictivement et seulement en cas de circonstances particulières et ne doit pas avoir pour conséquence de vider le principe de l’art. 106 CPC de son contenu (TF 5D_69/2017 du 14 juillet 2017 consid. 3.3.1). En matière de droit de famille, aucune règle n’impose à l’autorité cantonale de répartir les frais judiciaires en fonction de la prétendue importance des griefs sur lesquels chaque partie a obtenu gain de cause (TF 5A_118/2020 du 27 mai 2020 consid. 4 ; TF 5A_864/2018 du 23 mai 2019 consid. 5.2).</w:t>
      </w:r>
    </w:p>
    <w:p>
      <w:r>
        <w:rPr>
          <w:b/>
        </w:rPr>
        <w:t>E. 4.3</w:t>
      </w:r>
    </w:p>
    <w:p>
      <w:r>
        <w:t>L’appelant fonde son argumentation sur les raisons à son sens de l’échec de la conciliation quant à la question du partage des avoirs de prévoyance professionnelle, soit une absence de collaboration de l’intimée. Il lui échappe toutefois que les raisons pour lesquelles les parties n’ont pas réussi à aboutir à un accord ne constituent pas un critère de répartition des frais. En effet, l’art. 106 CPC indique clairement que les frais doivent être mis à la charge de la partie qui succombe, soit qui n’obtient pas l’allocation de sa prétention. Or, l’appelant ne conteste pas que les premiers juges ont écarté ses prétentions liées au calcul de la prestation de sortie à verser à l’intimée, appréciation confirmée plus haut. Il ne fait donc pas de doute qu’il a succombé et ne développe aucune critique spécifique à la répartition des frais et à l’allocation de dépens en lien avec l’application de l’art. 106 CPC. Au demeurant, l’appelant n’expose pas en quoi les arguments qu’il fait valoir pourraient justifier de s’écarter de la règle de l’art. 106 CPC en faveur d’une répartition des frais en équité aux termes de l’art. 107 CPC. On ne perçoit dans tous les cas que les conditions de cette disposition seraient réalisées en l’espèce. Le grief doit donc être écarté.</w:t>
      </w:r>
    </w:p>
    <w:p>
      <w:r>
        <w:rPr>
          <w:b/>
        </w:rPr>
        <w:t>E. 5.1</w:t>
      </w:r>
    </w:p>
    <w:p>
      <w:r>
        <w:t>En définitive, l’appel, manifestement infondé, doit être intégralement rejeté, selon la procédure de l’art. 312 al. 1 in fine CPC et le jugement entrepris confirmé.</w:t>
      </w:r>
    </w:p>
    <w:p>
      <w:r>
        <w:rPr>
          <w:b/>
        </w:rPr>
        <w:t>E. 5.2</w:t>
      </w:r>
    </w:p>
    <w:p>
      <w:r>
        <w:t>Les frais judiciaires de deuxième instance, arrêtés à 600 fr. (art. 63 al. 1 TFJC [tarif des frais judiciaires civils du 28 septembre 2010 ; BLV 270.11.5]), seront mis à la charge de l’appelant, qui succombe (art. 106 al. 1 CPC).</w:t>
      </w:r>
    </w:p>
    <w:p>
      <w:r>
        <w:rPr>
          <w:b/>
        </w:rPr>
        <w:t>E. 5.3</w:t>
      </w:r>
    </w:p>
    <w:p>
      <w:r>
        <w:t>Il n’y pas lieu à l’allocation de dépens, l’intimée n’ayant pas été interpellée.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