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305 vom 21. März 2024</w:t>
      </w:r>
    </w:p>
    <w:p>
      <w:r>
        <w:t>VD Tribunal cantonal, 2024-03-21, FR</w:t>
      </w:r>
    </w:p>
    <w:p>
      <w:r>
        <w:rPr>
          <w:b/>
        </w:rPr>
        <w:t xml:space="preserve">Quelle: </w:t>
      </w:r>
      <w:r>
        <w:t>https://mcp.opencaselaw.ch/entscheid/vd_findinfo_HC___2024___305</w:t>
      </w:r>
    </w:p>
    <w:p>
      <w:r>
        <w:t>FR: VD_FINDINFO HC / 2024 / 305 du 21 mars 2024</w:t>
      </w:r>
    </w:p>
    <w:p>
      <w:r>
        <w:t>IT: VD_FINDINFO HC / 2024 / 305 del 21 marzo 2024</w:t>
      </w:r>
    </w:p>
    <w:p>
      <w:pPr>
        <w:pStyle w:val="Heading2"/>
      </w:pPr>
      <w:r>
        <w:t>Regeste</w:t>
      </w:r>
    </w:p>
    <w:p>
      <w:r>
        <w:t>AVOCAT D'OFFICE, HONORAIRES |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[ci-après : le CR-CPC], 2 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27 février 2024/52 consid. 1.1 ; CREC 18 octobre 2023/206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III 433 ; CREC 27 février 2024/52 consid. 1.1 ; Tappy, op. cit. , n. 22 ad art. 122 CPC).</w:t>
      </w:r>
    </w:p>
    <w:p>
      <w:r>
        <w:rPr>
          <w:b/>
        </w:rPr>
        <w:t>E. 1.2</w:t>
      </w:r>
    </w:p>
    <w:p>
      <w:r>
        <w:t>Le litige portant sur la rétribution de l'avocat d'office est de nature pécuniaire (TF 5D_11/2022 précité consid. 1.3 et les réf. citées ; TF 5D_31/2022 du 11 août 2022 consid. 1.1 ; TF 5D_11/2022 du 25 mars 2022 consid. 1.1). Les conclusions portant sur des prestations en argent doivent être chiffrées, sous peine d'irrecevabilité (art. 60 et 84 al. 2 CPC ; ATF 137 III 617 consid. 4.2 et 4.3 ;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et les réf. citées ; TF 4A_274/2020 du 1 er septembre 2020 consid. 4 ; TF 5A_164/2019 précité consid. 4.3 ; TF 4A_653/2018 du 14 novembre 2019 consid. 6.3). Il en découle que l'autorité de recours peut, à titre exceptionnel, entrer en matière lorsque la somme à allouer est d'emblée reconnaissable au regard de la motivation du recours, cas échéant mis en relation avec le dispositif de l'arrêt attaqué (ATF 137 III 617 consid. 6.2 ; ATF 133 II 409 consid. 1.4.2 ; TF 5A_164/2019 précité consid. 4.3) (sur le tout : 5A_779/2021 et 5A_787/2021 du 16 décembre 2022 consid. 3.1).</w:t>
      </w:r>
    </w:p>
    <w:p>
      <w:r>
        <w:rPr>
          <w:b/>
        </w:rPr>
        <w:t>E. 1.3</w:t>
      </w:r>
    </w:p>
    <w:p>
      <w:r>
        <w:t>En l’espèce, le recours, écrit et motivé (art. 321 al. 1 CPC), a été formé en temps utile par une personne disposant d'un intérêt digne de protection (art. 59 al. 2 let. a CPC). Toutefois, de manière surprenante s’agissant d’une mandataire professionnelle, la recourante n’a pas chiffré ses conclusions, se contentant de requérir en substance que le temps admis pour fixer son indemnité d’office soit fixé à 44 heures et 55 minutes. Cela étant, il est possible de déterminer précisément le montant requis à titre d’indemnité d’office par la motivation du recours. Eu égard à la jurisprudence susmentionnée (cf. consid. 1.2 supra ) et à l’interdiction du formalisme excessif, on considérera dès lors exceptionnellement que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w:t>
      </w:r>
    </w:p>
    <w:p>
      <w:r>
        <w:rPr>
          <w:b/>
        </w:rPr>
        <w:t>E. 3</w:t>
      </w:r>
    </w:p>
    <w:p>
      <w:r>
        <w:t>Les conclusions, les allégations de faits et les preuves nouvelles sont irrecevables en procédure de recours (art. 326 al. 1 CPC). En l’occurrence, les pièces 2 et 3 produites par la recourante sont nouvelles et, partant, irrecevables.</w:t>
      </w:r>
    </w:p>
    <w:p>
      <w:r>
        <w:rPr>
          <w:b/>
        </w:rPr>
        <w:t>E. 4.1</w:t>
      </w:r>
    </w:p>
    <w:p>
      <w:r>
        <w:t>Dans un grief principal, la recourante se plaint de la manière dont son indemnité d’office a été fixée, soit du fait pour la présidente d’avoir retranché 12 heures de travail. Selon elle, à l’exception de la déduction d’une heure pour la rédaction d’une plainte pénale qui était justifiée, il conviendrait d’indemniser l’intégralité des heures annoncées dans la liste des opérations du 19 décembre 2023.</w:t>
      </w:r>
    </w:p>
    <w:p>
      <w:r>
        <w:rPr>
          <w:b/>
        </w:rPr>
        <w:t>E. 4.2</w:t>
      </w:r>
    </w:p>
    <w:p>
      <w:r>
        <w:t>Aux termes de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du 26 février 2016 consid. 4.3.3 ; sur le tout : TF 5D_118/2021 du 15 octobre 2021 consid. 5.1.3). L'avocat doit cependant bénéficier d'une marge d'appréciation suffisante pour déterminer l'importance du travail qu'il doit consacrer à l'affaire (ATF 18 Ia 133 consid. 2d ; ATF 109 Ia 107 consid. 3b).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 5 avril 2019 consid. 4 ; TF 5_28/2014 du 26 mai 2014 consid. 2.2).</w:t>
      </w:r>
    </w:p>
    <w:p>
      <w:r>
        <w:rPr>
          <w:b/>
        </w:rPr>
        <w:t>E. 4.3.1</w:t>
      </w:r>
    </w:p>
    <w:p>
      <w:r>
        <w:t>supra ) que le temps admissible pour la préparation des requêtes de mesures provisionnelles était de 5 heures et 30 minutes, durée qui prend en compte la vérification des pièces et leur intégration dans ces écritures. Au vu de ce qui précède, la recourante ne peut dès lors pas requérir l’ajout d’une durée supplémentaire de 45 minutes pour solliciter de sa mandante les pièces pertinentes et les inclure dans les actes de procédure. Son grief doit partant être rejeté.</w:t>
      </w:r>
    </w:p>
    <w:p>
      <w:r>
        <w:rPr>
          <w:b/>
        </w:rPr>
        <w:t>E. 4.3.2</w:t>
      </w:r>
    </w:p>
    <w:p>
      <w:r>
        <w:t>La recourante fait ensuite grief à la première juge de ne pas avoir tenu compte des 45 minutes consacrées à l’activité intitulée « bordereau de pièces » dans la liste des opérations du 19 décembre 2023. Or, il est de jurisprudence constante que l’établissement d’un bordereau de pièces ne peut pas être pris en compte à titre d’activité déployée par l’avocat, s’agissant de pur travail de secrétariat (CREC 12 février 2021/48 ; CREC 29 septembre 2020/225 ; Juge délégué CACI 7 septembre 2020/375 ; Juge délégué CACI 2 octobre 2017/437). A défaut de toutes explications de la recourante quant au poste « bordereau de pièces », il était ainsi tout à fait légitime pour la présidente de retrancher la durée de 45 minutes mentionnée dans la liste des opérations. Par ailleurs, si la recourante fait désormais valoir que le poste précité aurait nécessité « un véritable travail juridique » et non pas qu’un travail de secrétariat, ses explications ne convainquent pas. En effet, elle argue que le temps facturé correspondrait à celui dédié à la création de ce bordereau par l’intéressée elle-même qui inclurait « la demande à la cliente des pièces pertinentes, la vérification des documents reçus ainsi que leur intégration dans les différents allégués des mémoires ». On constate néanmoins que la présidente a tenu compte de l’intégralité des courriels échangés entre la recourante et D.________ ainsi que de toutes les conférences client, ces rendez-vous représentant à eux-seuls déjà 4 heures et 45 minutes de travail. Il est manifeste que c’est à l’occasion de ces échanges que la recourante et sa mandante ont principalement réglé la question des titres utiles devant être produits en procédure. C’est ainsi dans ce cadre que les demandes de pièces doivent été indemnisées. De même, il a déjà été établi ci-dessus (cf. consid.</w:t>
      </w:r>
    </w:p>
    <w:p>
      <w:r>
        <w:rPr>
          <w:b/>
        </w:rPr>
        <w:t>E. 4.3.3</w:t>
      </w:r>
    </w:p>
    <w:p>
      <w:r>
        <w:t>La recourante argue encore que la durée de 2 heures indiquée pour l’activité « préparation audience » comprendrait la lecture d’un procédé que la partie adverse aurait déposé quelques jours avant l’audiences et la préparation de déterminations orales ainsi que d’une plaidoirie. Selon elle, les 30 minutes retenues par la première juge seraient manifestement insuffisantes pour effectuer ces différentes opérations. Or, tel que cela a déjà été établi (cf. consid. 4.3.1 supra ), la cause ne présentant pas de complexités particulières et étant limitée à deux objets litigieux (soit la contribution d’entretien et l’avis aux débiteurs), c’est à bon droit que la présidente a pris en compte une durée de 30 minutes pour la préparation de l’avocate en vue de l’audience. C’est le lieu de relever que la première juge a en sus admis d’autres opérations en lien avec la préparation de l’audience, soit un entretien pré-audience avec la cliente de 40 minutes et un téléphone « cliente debriefing après audience » de 30 minutes. Dès lors, c’est en réalité un total de 1 heure et 40 minutes qui sera indemnisé à la recourante pour les seules opérations entourant l’audience, ce qui est largement suffisant (voire généreux) au regard de la nature de la cause.</w:t>
      </w:r>
    </w:p>
    <w:p>
      <w:r>
        <w:rPr>
          <w:b/>
        </w:rPr>
        <w:t>E. 4.3.4</w:t>
      </w:r>
    </w:p>
    <w:p>
      <w:r>
        <w:t>La recourante se plaint également du fait que la présidente a appliqué le tarif de 120 fr. pour les vacations. D’après elle, s’il était exact qu’elle disposait d’un bureau de consultation à Nyon, ses bureaux principaux, le secrétariat et l’essentiel de son activité se trouveraient à Genève. Or, la durée de 4 heures et 15 minutes annoncée dans la liste des opérations corresponderait au temps effectif pour se rendre de Genève jusqu’au Tribunal d’arrondissement à Yverdon. La recourante en conclut que « le forfait de 120 fr. couvr[irait] les frais effectifs, mais nullement le temps consacré », de sorte qu’il y aurait lieu de prendre en compte les 4 heures et 15 minutes indiquées. Il est rappelé qu’aux termes de l’art. 3bis al. 3 RAJ, les vacations dans le canton de Vaud sont comptées forfaitairement à 120 fr. pour l'avocat breveté, ce forfait valant pour tout le canton et couvrant les frais et le temps de déplacement aller et retour. Ainsi, contrairement à ce qu’expose la recourante, le forfait de 120 fr. appliqué inclut déjà le temps consacré pour effectuer le trajet, et non pas uniquement les frais causés par le déplacement. De surcroît, la recourante se présente comme étant une avocate pratiquant le barreau dans le canton de Vaud, de sorte que le tarif lui est pleinement applicable s’agissant d’un mandat d’office accordé par une autorité vaudoise pour une procédure se déroulant dans le canton de Vaud. Par surabondance, il est relevé que l’art. 3bis al. 4 RAJ prévoit que lorsque des circonstances exceptionnelles justifient d'arrêter les débours à un montant supérieur (importance inhabituelle de la cause notamment et vacation hors canton), le conseil commis d'office présente une liste accompagnée des justificatifs de paiement. Pour autant que l’art. 3bis al. 4 RAJ soit applicable s’agissant d’une avocate dont l’étude est située hors du canton et qui accepte, en pleine connaissance de cause, un mandat d’office octroyé par un tribunal vaudois, ce qui est douteux, cette disposition est claire : la recourante aurait dû présenter des justificatifs de paiement si elle entendait se faire rémunérer pour des déplacements hors du canton de Vaud à un montant supérieur au forfait prévu par l'art. 3bis al. 3 RAJ, ce qu’elle s’est abstenue de faire. Eu égard à ce qui précède, ce grief doit être rejeté.</w:t>
      </w:r>
    </w:p>
    <w:p>
      <w:r>
        <w:rPr>
          <w:b/>
        </w:rPr>
        <w:t>E. 4.3.5</w:t>
      </w:r>
    </w:p>
    <w:p>
      <w:r>
        <w:t>La recourante fait finalement valoir que l’envoi du dossier, constitué de onze classeurs fédéraux, au nouveau conseil d’office de D.________ aurait fait l’objet de complications, Me C.________ ayant refusé de venir chercher ledit dossier. Un envoi par poste de 24 fr. aurait ainsi été nécessaire, montant dont la recourante réclame le remboursement. Cela étant, selon l’art. 3bis RAJ, les débours du conseil commis d'office sont fixés forfaitairement à 5% du défraiement hors taxe en première instance (al. 1). Entrent notamment dans les débours forfaitaires les frais d'acheminement postal (al. 2). Il n’y a dès lors pas lieu d’ajouter les frais d’envoi invoqués par la recourante à son indemnité d’office, lesquels sont déjà pris en compte dans les débours fixés forfaitairement à 5 % du défraiement de l’avocat d’office. Il est d’ailleurs relevé que le régime prévu par l’art. 3bis RAJ est plus favorable à la recourante ; en effet, ses débours s’élèvent à 360 fr. en application de ce forfait, alors qu’à la lecture de sa liste des opérations, ils ascendent à 54 fr. 50 seulement, sans compter les 24 fr. réclamés ci-dessus.</w:t>
      </w:r>
    </w:p>
    <w:p>
      <w:r>
        <w:rPr>
          <w:b/>
        </w:rPr>
        <w:t>E. 5.1</w:t>
      </w:r>
    </w:p>
    <w:p>
      <w:r>
        <w:t>En définitive, le recours, manifestement infondé, est rejeté selon le mode procédural de l'art. 322 al. 1 in fine CPC et l’ordonnance confirmée.</w:t>
      </w:r>
    </w:p>
    <w:p>
      <w:r>
        <w:rPr>
          <w:b/>
        </w:rPr>
        <w:t>E. 5.2</w:t>
      </w:r>
    </w:p>
    <w:p>
      <w:r>
        <w:t>Les frais judiciaires de deuxième instance, arrêtés à 200 fr. (art. 69 al. 3 TJFC [tarif des frais judiciaires civils du 28 septembre 2010 ; BLV 270.11.5]), sont mis à la charge de la recourante, qui succombre (art. 106 al. 1 CPC). Il n’y a pas lieu à l’allocation de dépens de deuxième instance dans la mesure où la recourante succombe, étant relevé qu’elle n’y avait, quoi qu’il en soit, pas conclu. Par ces motifs, la Chambre des recours civile du Tribunal cantonal, en application de l’art. 322 al. 1 CPC, prononce : I. Le recours est rejeté. II. L’ordonnance est confirmée. III. Les frais judiciaires de deuxième instance, arrêtés à 200 fr. (deux cents francs), sont mis à la charge de la recourante Me F.________. IV. L’arrêt est exécutoire. La présidente :               La greffière : Du L'arrêt qui précède, dont la rédaction a été approuvée à huis clos, est notifié à : ‑ Me F.________, ‑ Me Stéphanie Zaganescu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