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276 vom 19. April 2024</w:t>
      </w:r>
    </w:p>
    <w:p>
      <w:r>
        <w:t>VD Tribunal cantonal, 2024-04-19, FR</w:t>
      </w:r>
    </w:p>
    <w:p>
      <w:r>
        <w:rPr>
          <w:b/>
        </w:rPr>
        <w:t xml:space="preserve">Quelle: </w:t>
      </w:r>
      <w:r>
        <w:t>https://mcp.opencaselaw.ch/entscheid/vd_findinfo_HC___2024___276</w:t>
      </w:r>
    </w:p>
    <w:p>
      <w:r>
        <w:t>FR: VD_FINDINFO HC / 2024 / 276 du 19 avril 2024</w:t>
      </w:r>
    </w:p>
    <w:p>
      <w:r>
        <w:t>IT: VD_FINDINFO HC / 2024 / 276 del 19 aprile 2024</w:t>
      </w:r>
    </w:p>
    <w:p>
      <w:pPr>
        <w:pStyle w:val="Heading2"/>
      </w:pPr>
      <w:r>
        <w:t>Regeste</w:t>
      </w:r>
    </w:p>
    <w:p>
      <w:r>
        <w:t>REJET DE LA DEMANDE, DÉCISION D'IRRECEVABILITÉ, OBLIGATION DE CHIFFRER LES CONCLUSIONS, ACTION EN DIVORCE, CAUSE DE DIVORCE, MOTIVATION DE LA DEMANDE | 285 al. 1 CC, 285 CC, 106 al. 2 CPC (CH), 311 al. 1 CPC (CH), 311 CPC (CH), 312 al. 1 CPC (CH)</w:t>
      </w:r>
    </w:p>
    <w:p>
      <w:pPr>
        <w:pStyle w:val="Heading2"/>
      </w:pPr>
      <w:r>
        <w:t>Erwägungen</w:t>
      </w:r>
    </w:p>
    <w:p>
      <w:r>
        <w:rPr>
          <w:b/>
        </w:rPr>
        <w:t>E. 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L'appel a été déposé par une partie ayant un intérêt digne de protection (art. 59 al. 2 let. a CPC) à la contester, ceci dans le délai prescrit. Il est donc formellement recevable, sous les réserves qui suivent.</w:t>
      </w:r>
    </w:p>
    <w:p>
      <w:r>
        <w:rPr>
          <w:b/>
        </w:rPr>
        <w:t>E. 1.3</w:t>
      </w:r>
    </w:p>
    <w:p>
      <w:r>
        <w:t>Pour être recevable, l'appel doit être motivé et comporter des conclusions (art. 311 al. 1 CPC). Il faut donc que l'appelant explicite dans quelle mesure la décision attaquée doit être modifiée ou annulée (ATF 137 III 617 consid. 4.2.2, JdT 2012 III 23 et réf. cit. ; TF 5A_949/2021 du 13 décembre 2021 consid. 3),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(art. 84 al. 2 CPC), sous peine d'irrecevabilité (ATF 137 III 617 consid. 4.2 et 4.3 ; TF 5A_779/2021, 5A_787/2021 du 16 décembre 2022 consid. 3.1 ; TF 5A_453/2022 du 13 décembre 2022 consid. 3.1).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 er septembre 2020 consid. 4 ; TF 4A_426/2019 du 12 septembre 2019 consid. 5.1 ; TF 5A_792/2016 du 23 janvier 2017 consid. 1.2). Ainsi, lorsque le recourant se contente de conclure à l’annulation de la décision litigieuse et à ce qu’il soit statué dans le sens des considérants, l’instance supérieure ne viole pas l’interdiction du formalisme excessif en déclarant le recours irrecevable faute pour les conclusions d’être suffisamment chiffrées et de permettre une éventuelle réforme du jugement (ATF 137 III 617 consid. 4 ss ; TF 5A_65/2022 précité consid. 3.3.1 ; TF 5A_779/2021, 5A_787/2021 précité consid. 4.3.1 ; TF 5A_164/2019 du 20 mai 2020 consid. 4.3, non publié in ATF 146 III 203). Il ne saurait être remédié à des conclusions déficientes par la fixation d'un délai de l'art. 132 CPC, un tel vice n'étant pas d'ordre purement formel et affectant l'appel de façon irréparable (ATF 137 III 617 consid. 6.4, JdT 2014 II 187 ; TF 5A_959/2023 du 23 janvier 2024 consid. 3.2 ; TF 5A_65/2022 précité consid. 3.5.1 ; CACI 28 février 2024/96 consid. 3.1).</w:t>
      </w:r>
    </w:p>
    <w:p>
      <w:r>
        <w:rPr>
          <w:b/>
        </w:rPr>
        <w:t>E. 1.4.1</w:t>
      </w:r>
    </w:p>
    <w:p>
      <w:r>
        <w:t>En l'espèce, l'appelant conclut tout d'abord à une répartition équitable des avantages acquis de l'intimée, proportionnelle à ce qu'il est tenu de payer. Si l'on comprend des motifs de l'appel que le principe de la fixation de contribution d'entretien fondée sur la prise en compte d'un revenu hypothétique pour l'appelant est contestée, la conclusion précitée n'y fait pas directement référence. Elle ne mentionne que les « avantages acquis » de l'intimée sans les préciser. Dès lors, la Cour de céans est dans l'incapacité de déterminer l'objet de la conclusion. De plus, l'étendue de la répartition desdits avantages, manifestement d'ordre patrimonial, aurait dû faire l'objet d'un chiffrage. Au vu de ces éléments, la conclusion est irrecevable.</w:t>
      </w:r>
    </w:p>
    <w:p>
      <w:r>
        <w:rPr>
          <w:b/>
        </w:rPr>
        <w:t>E. 1.4.2</w:t>
      </w:r>
    </w:p>
    <w:p>
      <w:r>
        <w:t>L'appelant conclut également à ce que les contributions d'entretien mises à sa charge soient calculées, dès le mois de juin ou juillet 2020, sur la base de son salaire réel. Cette conclusion n'est cependant pas chiffrée, contrairement aux exigences mentionnées ci-dessus. Au demeurant, les motifs de l'appel ne comprennent pas de calcul, si bien que la Cour de céans n'est pas en mesure de déterminer l'étendue de la modification demandée par l'appelant. Cette conclusion est également irrecevable.</w:t>
      </w:r>
    </w:p>
    <w:p>
      <w:r>
        <w:rPr>
          <w:b/>
        </w:rPr>
        <w:t>E. 1.4.3</w:t>
      </w:r>
    </w:p>
    <w:p>
      <w:r>
        <w:t>II en va de même de la conclusion « alternative » prise par l'appelant et tendant à ce qu'une partie de ses « avantages acquis » soit allouée à la partie adverse. L'objet de cette conclusion ne ressort pas des motifs, si bien que la Cour de céans n'est pas en mesure de déterminer la prétention de l'appelant.</w:t>
      </w:r>
    </w:p>
    <w:p>
      <w:r>
        <w:rPr>
          <w:b/>
        </w:rPr>
        <w:t>E. 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réf. cit.).</w:t>
      </w:r>
    </w:p>
    <w:p>
      <w:r>
        <w:rPr>
          <w:b/>
        </w:rPr>
        <w:t>E. 2.2</w:t>
      </w:r>
    </w:p>
    <w:p>
      <w:r>
        <w:t>En l'espèce, l'appelant produit deux pièces, soit une attestation de l'Office régional de placement de [...] du 11 juillet 2023, ainsi qu'une lettre de l'appelant à destination de la vice-présidente du Tribunal d'arrondissement de La Côte du 23 novembre 2020. Ces pièces ne figurent pas au dossier de première instance mais peuvent en principe être admises au regard de la maxime inquisitoire illimitée applicable en matière de contribution d'entretien pour un enfant mineur. Toutefois, les conclusions en lien avec la contestation de la pension fixée en faveur de G.________, fils des parties, sont irrecevables, si bien que les pièces produites n'ont plus de pertinence.</w:t>
      </w:r>
    </w:p>
    <w:p>
      <w:r>
        <w:rPr>
          <w:b/>
        </w:rPr>
        <w:t>E. 3</w:t>
      </w:r>
    </w:p>
    <w:p>
      <w:r>
        <w:t>Dans les motifs de son appel, l'appelant conteste que la procédure de divorce ait été qualifiée « d'accord mutuel ». On ne perçoit toutefois pas ce qu'il entend obtenir d'une requalification de la procédure en procédure unilatérale, si bien que son grief est irrecevable. Au demeurant, on relèvera que l'appelant a bien déclaré ne pas s'opposer au principe du divorce et que c'est ainsi à juste titre que la procédure a été menée en qualité de procédure avec accord partiel.</w:t>
      </w:r>
    </w:p>
    <w:p>
      <w:r>
        <w:rPr>
          <w:b/>
        </w:rPr>
        <w:t>E. 4</w:t>
      </w:r>
    </w:p>
    <w:p>
      <w:r>
        <w:t>L'appelant conteste ensuite l'appréciation des premiers juges quant à ses opportunités d'emploi en Suisse et aux motifs de son départ en [...], respectivement quant aux fondements du calcul des contributions d'entretien mises à sa charge. En particulier, il estime qu'il convenait de tenir compte de son salaire réel, du niveau de vie en [...], de sa capacité à payer les contributions et des incertitudes liées à la situation de l'[...]. Comme évoqué plus haut ( supra consid. 1.4), les conclusions liées aux contributions d'entretien sont irrecevables, si bien qu'il n'y a pas lieu d'examiner les griefs formulés. A toutes fins utiles, on relèvera que l'appelant ne procède à aucune critique concrète du calcul effectué par les premiers juges quant aux contributions d'entretien et ne procède lui-même pas à un calcul explicite. Ses griefs, pour autant que considérés suffisamment motivés, n'auraient ainsi pas pu être accueillis.</w:t>
      </w:r>
    </w:p>
    <w:p>
      <w:r>
        <w:rPr>
          <w:b/>
        </w:rPr>
        <w:t>E. 5.1</w:t>
      </w:r>
    </w:p>
    <w:p>
      <w:r>
        <w:t>L'appelant conteste encore que les frais de représentation légale de l'intimée en première instance, par l'intermédiaire de dépens, aient été partiellement mis à sa charge.</w:t>
      </w:r>
    </w:p>
    <w:p>
      <w:r>
        <w:rPr>
          <w:b/>
        </w:rPr>
        <w:t>E. 5.2</w:t>
      </w:r>
    </w:p>
    <w:p>
      <w:r>
        <w:t>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5D_84/2023 du 23 février 2024 consid. 4.3).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5.3</w:t>
      </w:r>
    </w:p>
    <w:p>
      <w:r>
        <w:t>La conclusion prise par l'appelant quant aux dépens de première instance ne fait l'objet d'aucune motivation particulière dans son appel. Cela étant, il ressort de la conclusion elle-même qu'il considère injuste que des dépens aient été mis à sa charge. Les premiers juges ont considéré que l'intimée avait obtenu largement gain de cause, si bien que l'appelant devait être chargé des deux tiers des frais. Les dépens ont été calculés sur la base de cette proportion en prenant comme fondement l'indemnité allouée au conseil d'office de l'intimée. Il ressort du jugement attaqué que l'appelant avait conclu en première instance en particulier à ce que ses avoirs de deuxième pilier ne soient pas partagés et en substance à ce que l'autorité parentale conjointe soit maintenue, respectivement à ce qu'il puisse voir ses enfants. Il a en outre contesté devoir contribuer financièrement à l'entretien de ses enfants. L'appréciation des premiers juges ne peut qu'être confirmée, l'appelant ayant succombé sur l'ensemble de ses prétentions, sous réserve du maintien de l'autorité parentale conjointe et des visites. C'est ainsi à juste titre que les frais ont été mis principalement à sa charge. Pour le reste, l'appelant ne critique pas les montants retenus par les premiers juges, si bien qu'il y a lieu de les confirmer. Le grief doit être rejeté, dans la mesure de sa recevabilité.</w:t>
      </w:r>
    </w:p>
    <w:p>
      <w:r>
        <w:rPr>
          <w:b/>
        </w:rPr>
        <w:t>E. 6.1</w:t>
      </w:r>
    </w:p>
    <w:p>
      <w:r>
        <w:t>En définitive, l’appel doit être rejeté, dans la faible mesure de sa recevabilité, selon le mode procédural de l’art. 312 al. 1 in fine CPC, et le jugement doit être confirmé.</w:t>
      </w:r>
    </w:p>
    <w:p>
      <w:r>
        <w:rPr>
          <w:b/>
        </w:rPr>
        <w:t>E. 6.2</w:t>
      </w:r>
    </w:p>
    <w:p>
      <w:r>
        <w:t>L’intimée n’ayant pas été invitée à se déterminer, sa demande d’assistance judiciaire, prématurée, est sans objet.</w:t>
      </w:r>
    </w:p>
    <w:p>
      <w:r>
        <w:rPr>
          <w:b/>
        </w:rPr>
        <w:t>E. 6.3</w:t>
      </w:r>
    </w:p>
    <w:p>
      <w:r>
        <w:t>Les frais judiciaires de deuxième instance, arrêtés à 600 fr. (art. 63 al. 1 TFJC [tarif des frais judiciaires civils du 28 septembre 2010 ; BLV 270.11.5]), sont mis à la charge de l’appelant, qui succombe entièrement (art. 106 al. 1 CPC).</w:t>
      </w:r>
    </w:p>
    <w:p>
      <w:r>
        <w:rPr>
          <w:b/>
        </w:rPr>
        <w:t>E. 6.4</w:t>
      </w:r>
    </w:p>
    <w:p>
      <w:r>
        <w:t>Il n’y a pas lieu à l’allocation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