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26 vom 11. März 2024</w:t>
      </w:r>
    </w:p>
    <w:p>
      <w:r>
        <w:t>VD Tribunal cantonal, 2024-03-11, FR</w:t>
      </w:r>
    </w:p>
    <w:p>
      <w:r>
        <w:rPr>
          <w:b/>
        </w:rPr>
        <w:t xml:space="preserve">Quelle: </w:t>
      </w:r>
      <w:r>
        <w:t>https://mcp.opencaselaw.ch/entscheid/vd_findinfo_HC___2024___26</w:t>
      </w:r>
    </w:p>
    <w:p>
      <w:r>
        <w:t>FR: VD_FINDINFO HC / 2024 / 26 du 11 mars 2024</w:t>
      </w:r>
    </w:p>
    <w:p>
      <w:r>
        <w:t>IT: VD_FINDINFO HC / 2024 / 26 del 11 marzo 2024</w:t>
      </w:r>
    </w:p>
    <w:p>
      <w:pPr>
        <w:pStyle w:val="Heading2"/>
      </w:pPr>
      <w:r>
        <w:t>Regeste</w:t>
      </w:r>
    </w:p>
    <w:p>
      <w:r>
        <w:t>BAIL À LOYER, LOYER INITIAL, ÉTAT DES LIEUX{CHOSE LOUÉE}, DÉFAUT DE LA CHOSE, ACTION EN DOMMAGES-INTÉRÊTS{EN GÉNÉRAL}, PRESCRIPTION, AUTORISATION DE PROCÉDER | 256 CO, 259e CO, 270 CO, 151 CPC (CH), 168 CPC (CH), 317 CPC (CH)</w:t>
      </w:r>
    </w:p>
    <w:p>
      <w:pPr>
        <w:pStyle w:val="Heading2"/>
      </w:pPr>
      <w:r>
        <w:t>Erwägungen</w:t>
      </w:r>
    </w:p>
    <w:p>
      <w:r>
        <w:rPr>
          <w:b/>
        </w:rPr>
        <w:t>E. 8.1</w:t>
      </w:r>
    </w:p>
    <w:p>
      <w:r>
        <w:t>En définitive, l'appel est très partiellement admis, le jugement étant confirmé sous réserve du chiffre VI qui est supprimé.</w:t>
      </w:r>
    </w:p>
    <w:p>
      <w:r>
        <w:rPr>
          <w:b/>
        </w:rPr>
        <w:t>E. 8.2.1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rPr>
          <w:b/>
        </w:rPr>
        <w:t>E. 8.2.2</w:t>
      </w:r>
    </w:p>
    <w:p>
      <w:r>
        <w:t>Dans la mesure où le jugement de première instance a été rendu sans frais judiciaires ni dépens en vertu de l’art. 12 al. 1 LJB (loi vaudoise du 9 novembre 2010 sur la juridiction en matière de bail ; BLV 173.655), il n'y a pas lieu de procéder à une nouvelle répartition des frais.</w:t>
      </w:r>
    </w:p>
    <w:p>
      <w:r>
        <w:rPr>
          <w:b/>
        </w:rPr>
        <w:t>E. 8.2.3</w:t>
      </w:r>
    </w:p>
    <w:p>
      <w:r>
        <w:t>En deuxième instance, les frais judiciaires s'élèvent à 1'490 fr., conformément aux art. 62 al. 1 TFJC (tarif des frais judiciaires civils du 28 septembre 2010 ; BLV 270.11.5) et 91 ss CPC. Ils doivent être mis entièrement à la charge de l'appelante, pareille répartition se justifiant, d'une part, parce que l'appelante succombe sur la quasi-totalité de ses conclusions et, d'autre part, pour des motifs d'équité, en raison de la disparité économique entre les deux parties (art. 107 al. 1 let. f CPC).</w:t>
      </w:r>
    </w:p>
    <w:p>
      <w:r>
        <w:rPr>
          <w:b/>
        </w:rPr>
        <w:t>E. 8.2.4</w:t>
      </w:r>
    </w:p>
    <w:p>
      <w:r>
        <w:t>Aux termes de l’art. 3 al. 2 TDC (tarif des dépens en matière civile du 23 novembre 2010 ; BLV 270.11.6), le défraiement est fixé en fonction notamment de l’importance de la cause, de ses difficultés, de l’ampleur du travail et du temps consacré par l’avocat ou l’agent d’affaires breveté. À cet égard, le juge apprécie l’étendue des opérations nécessaires pour la conduite du procès et se fonde, en règle générale, sur le tarif horaire moyen usuellement admis. Au vu de l’issue de l’appel, l’intimé a droit à des dépens, dont la charge peut être estimée à 4'500 fr., considérant notamment la liste des opérations présentée par son conseil, Me Laura Emonet. Compte tenu de l’assistance judiciaire dont bénéficie l’intimé, ces dépens doivent être alloués à Me Laura Emonet directement. En effet, le Tribunal fédéral a considéré que la pratique relative à la LTF (loi sur le Tribunal fédéral du 17 juin 2005 ; RS 173.110) d'allouer les dépens directement à l'avocat d'office dans les cas où la partie au bénéfice de l'assistance judiciaire obtenait gain de cause s'imposait également pour l'art. 122 al. 2 CPC (TF 4A 106/2021 du 8 août 2022 consid. 3.4 et les réf. citées).</w:t>
      </w:r>
    </w:p>
    <w:p>
      <w:r>
        <w:rPr>
          <w:b/>
        </w:rPr>
        <w:t>E. 8.3.1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8.3.2</w:t>
      </w:r>
    </w:p>
    <w:p>
      <w:r>
        <w:t>Me Laura Emonet, conseil d’office de l’intimé, a produit une liste des opérations le 13 septembre 2023 faisant état d’activités déployées durant 13 heures et 50 minutes. Le décompte apparaît justifié, compte tenu des écritures échangées et du travail accompli, et peut être approuvé. Au tarif horaire de 180 fr., les honoraires de Me Laura Emonet s’élèvent à 2'490 fr. (180 fr. x 13h50), montant auquel s’ajoutent les débours forfaitaires de 2 % (art. 3bis RAJ), par 49 fr. 80, la TVA sur le tout par 195 fr. 55, soit un montant total de 2'735 fr. 35. Le bénéficiaire de l’assistance judiciaire remboursera l’indemnité allouée à son conseil d’office, provisoirement supportée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