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258 vom 13. Mai 2024</w:t>
      </w:r>
    </w:p>
    <w:p>
      <w:r>
        <w:t>VD Tribunal cantonal, 2024-05-13, FR</w:t>
      </w:r>
    </w:p>
    <w:p>
      <w:r>
        <w:rPr>
          <w:b/>
        </w:rPr>
        <w:t xml:space="preserve">Quelle: </w:t>
      </w:r>
      <w:r>
        <w:t>https://mcp.opencaselaw.ch/entscheid/vd_findinfo_HC___2024___258</w:t>
      </w:r>
    </w:p>
    <w:p>
      <w:r>
        <w:t>FR: VD_FINDINFO HC / 2024 / 258 du 13 mai 2024</w:t>
      </w:r>
    </w:p>
    <w:p>
      <w:r>
        <w:t>IT: VD_FINDINFO HC / 2024 / 258 del 13 maggio 2024</w:t>
      </w:r>
    </w:p>
    <w:p>
      <w:pPr>
        <w:pStyle w:val="Heading2"/>
      </w:pPr>
      <w:r>
        <w:t>Regeste</w:t>
      </w:r>
    </w:p>
    <w:p>
      <w:r>
        <w:t>GARANTIE EN RAISON DES DÉFAUTS DE LA CHOSE, ADMISSION DE LA DEMANDE, AVIS DES DÉFAUTS, FARDEAU DE LA PREUVE, PRINCIPE D'ALLÉGATION | 197 CO, 201 CO</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w:t>
      </w:r>
    </w:p>
    <w:p>
      <w:r>
        <w:rPr>
          <w:b/>
        </w:rPr>
        <w:t>E. 1.2</w:t>
      </w:r>
    </w:p>
    <w:p>
      <w:r>
        <w:t>En l’espèce, formé en temps utile contre une décision finale dans une cause patrimoniale dont la valeur litigieuse est supérieure à 10'000 fr. par une partie disposant d’un intérêt digne de protection (art. 59 al. 2 let. a CPC), l’appel est recevable. Il en va de même de la réponse sur appel formée par les intimés.</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Conformément à l’art. 311 al. 1 CPC, l’appel doit être présenté par écrit et motivé. Le mémoire d’appel doit en outre contenir des conclusions (ATF 137 III 617 consid. 4.2.2, JdT 2014 II 187, SJ 2012 I 373 ; TF 5A_467/2023 du 14 novembre 2023 consid. 4.3.1 ; TF 5A_65/2022 du 16 janvier 2023 consid. 3.3.1).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4A_333/2023 du 23 février 2024 consid. 5.1 ; TF 5A_524/2023 du 14 décembre 2023 consid. 3.3.1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 Colombini, Code de procédure civile, Condensé de jurisprudence fédérale et vaudoise, Lausanne 2018, n. 8.2.2 ad art. 311 CPC).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11 mars 2024/24 consid. 1.1 ;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précité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précité consid. 4.2.1 ; TF 4A_333/2023 précité consid. 5.1 ; TF 5A_524/2023 précité consid. 3.3.1).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5A_779/2021 et 5A_787/2021 précités consid. 4.3.1 ; TF 4A_621/2021 précité consid. 3.1 et les réf. citées).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5A_23/2019 du 3 juillet 2019 consid. 3.2.2 ; TF 5A_206/2016 du 1 er juin 2016 consid. 4.2.2). Aussi le défaut de motivation suffisante rend-il l’appel d’emblée irrecevable, sans qu’il y ait lieu d’interpeller l’appelant (TF 5A_65/2022 précité consid. 3.5.1 et 3.5.2 ; TF 5A_209/2014 du 2 septembre 2014 consid. 4.2.1 ; TF 4A_97/2014 précité consid. 3.3). Il n’y a pas non plus lieu, en pareil cas, de statuer sur la base du dossier (TF 5A_438/2012 du 10 septembre 2012 consid. 2.4).</w:t>
      </w:r>
    </w:p>
    <w:p>
      <w:r>
        <w:rPr>
          <w:b/>
        </w:rPr>
        <w:t>E. 3.2</w:t>
      </w:r>
    </w:p>
    <w:p>
      <w:r>
        <w:t>Dans la partie de son appel intitulée « [l]e jugement du 3 avril 2023 » (pp.</w:t>
      </w:r>
    </w:p>
    <w:p>
      <w:r>
        <w:rPr>
          <w:b/>
        </w:rPr>
        <w:t>E. 6</w:t>
      </w:r>
    </w:p>
    <w:p>
      <w:r>
        <w:t>mai 2022 consid. 5.1 et les réf. citées). 4.2.2 S’il entend conserver son droit à la garantie des défauts, l’acheteur doit respecter certaines incombances tenant à la vérification de la chose livrée et au signalement des défauts. Lorsque des défauts cachés (que l’acheteur ne pouvait découvrir à l’aide des vérifications usuelles) se révèlent plus tard, l’art. 201 al. 3 CO prescrit de les signaler immédiatement ( sofort nach der Entdeckung ; subito dopo la scoperta ) ; sinon la chose sera tenue pour acceptée, même avec ces défauts (art. 201 al. 2 et 3 CO). La loi institue une fiction d’acceptation qui entraîne la péremption de tous les droits de garantie (TF 4A_535/2021 précité consid. 6.1 ; TF 4A_261/2020 du 10 décembre 2020 consid. 7.2.1 ; TF 4C.205/2003 du 17 novembre 2003 consid. 3.3.2 ; TF 4C.152/2003 du 29 août 2003 consid. 3.1 ; cf. aussi ATF 114 Il 239 précité consid. 5a/bb). Aux termes de la loi, l’acheteur doit agir immédiatement. La jurisprudence lui concède un court délai de réflexion (TF 4A_261/2020 précité consid. 7.2.1 ; TF 4A 367/2009 du 2 novembre 2009 consid. 1.2 ; TF 4C.205/2003 précité consid. 3.2), tout en soulignant que les circonstances du cas concret, notamment la nature du défaut, sont déterminantes (TF 4A_261/2020 précité consid. 7.2.1 ; TF 4A_399/2018 du 8 février 2019 consid. 3.2). Il y a découverte d’un défaut lorsque l’acheteur peut constater indubitablement son existence de manière à pouvoir formuler une réclamation suffisamment motivée. Cela suppose que l’acheteur puisse en déterminer le genre et en mesurer l’étendue ; tel n’est pas le cas dès l’apparition des premiers signes de défauts évolutifs dans leur étendue ou leur gravité, car cela amènerait l’acheteur à signaler n’importe quelle bagatelle pour éviter d’être déchu de ses droits (TF 4A_261/2020 précité consid. 7.2.1 ; TF 4C.205/2003 précité consid. 3.2 ; en matière de contrat d’entreprise : ATF 131 III 145 consid. 7.2, JdT 2007 I 261, SJ 2005 I 321 ; TF 4A_293/2017 du 13 février 2018 consid. 2.2.3). La loi ne dit mot quant au contenu que doit revêtir l’avis des défauts. Selon la jurisprudence et la doctrine, il doit énoncer précisément les défauts, de façon à ce que le vendeur puisse en mesurer le genre et l’étendue et décider comment se comporter par rapport à la responsabilité mise en perspective. Il faut expliquer en quoi la chose vendue ne revêt pas les qualités promises ou attendues. L’acheteur doit faire comprendre qu’il tient la chose pour non conforme au contrat et tient le vendeur pour responsable. En revanche, il n’est pas tenu d’indiquer la cause du défaut, ni de spécifier lequel des droits à la garantie il entend exercer. Les circonstances concrètes sont déterminantes (TF 4A_261/2020 précité consid. 7.2.1 ; TF 4C.395/2001 du 28 mai 2002 consid. 2.1.1 ; Bieger, Die Mängelrüge im Vertragsrecht, Zurich 2009, n. 110-111, 147 ss, spéc. 155-156 ; Tercier / Bieri / Carron, op. cit. , n. 719 ss ; Müller-Chen, Handkommentar zum Schweizer Privatrecht, volume 5, 4 e éd., Zurich 2023, n. 17 ad art. 201 CO ; en droit du contrat d’entreprise, cf. ATF 107 Il 172 consid. 1a ; TF 4A_251/2018 du 11 septembre 2018 consid. 3.2 et les réf. citées ; TF 4C.130/2006 du 8 mai 2007 consid. 4.2.1). Lorsque l’acheteur ne se conforme pas à son devoir d’avis, la chose vendue est tenue pour acceptée même avec ses défauts (art. 201 al. 2 et 3 CO). La loi institue une fiction d’acceptation qui entraîne la péremption de tous les droits de garantie (TF 4A 261/2020 précité consid. 7.2.1 ; TF 4C.152/2003 précité consid. 3.1 ; TF 4C.205/2003 précité consid. 3.3.2 ; cf. aussi ATF 114 Il 239 précité consid. 5a/bb). En présence d’une fiction, il n’est pas possible d’apporter la preuve du contraire (Bieger, op. cit. , n. 352). 4.2.3 Dans une jurisprudence rendue en matière de contrat d’entreprise, mais applicable dans le cadre d’une vente immobilière (cf. la référence à l’ATF 118 II 142 figurant à l’arrêt TF 4A_367/2019 du 2 novembre 2009 consid. 1.1), le Tribunal fédéral a confirmé que le maître de l’ouvrage (ou l’acheteur) qui émet des prétentions en garantie doit prouver qu’il a donné l’avis des défauts en temps utile, mais il incombe à l’entrepreneur (ou au vendeur) d’alléguer l’acceptation de l’ouvrage découlant de la tardiveté de l’avis des défauts. Le juge doit d’autant moins vérifier d’office la ponctualité de l’avis des défauts que ce point dépend fortement des circonstances d’espèce et des pratiques commerciales. Cette jurisprudence implique une séparation des fardeaux de l’allégation et de la preuve. L’entrepreneur (ou le vendeur) supporte donc le fardeau de l’allégation objectif de l’absence d’avis des défauts ou de la tardiveté de celui-ci et le maître de l’ouvrage (ou l’acheteur) supporte le fardeau de la preuve de l’un ou l’autre de ces faits (TF 4A_288/2018 du 29 janvier 2019 consid. 6.1.2 et les réf. citées). 4.2.4 En l’espèce, les intimés invoquent que l’appelante n’a pas respecté son devoir d’allégation de la tardiveté de l’avis des défauts. Le jugement attaqué est muet à ce sujet, les premiers juges ayant considéré que les avis des défauts n’étaient pas tardifs. Ils n’ont donc pas examiné la question sous l’angle invoqué par les intimés. Il ressort des écritures des parties que les intimés ont allégués que « [les défauts de la chose vendue ont été avisés immédiatement après leur découverte » (all. 68 de la demande) et que « [...] [l’appelante le] sait pertinemment puisqu’elle interpelle à son tour les divers intervenants dans la construction du chalet, à des fins de garantie selon toute vraisemblance » (all. 69 de la demande). L’appelante a contesté ces allégations, en bloc avec les autres allégués 15 à 93 de la demande, sans plus ample motivation. Elle a toutefois également allégué sous numéro d’ordre 264 ce qui suit dans sa duplique : « Si les demandeurs [ndr : les intimés] paraissent avoir démontré avoir procédé à divers avis des défauts auprès des entrepreneurs concernés (allégué 196 de la réplique), alors même qu’il ne leur appartenait pas de le faire en leur qualité d’acheteurs, ils n’ont pas été en mesure de prouver que les avis des défauts conformément aux règles du contrat de vente régissant la garantie pour les défauts ont bien été adressé [ sic ] à la défenderesse [ndr : l’appelante] sans délai, étant entendu que la défenderesse n’est plus représentée depuis plusieurs années par la direction des travaux et par Monsieur N.________, avec lesquels elle est notoirement en litige depuis de nombreuses années ». Contrairement à ce que soutiennent les intimés, la contestation de l’appelante quant au respect du délai prescrit pour les avis des défauts est suffisante. En effet, non seulement elle s’est déterminée sur les allégations des intimés à ce sujet, en les contestant, mais elle a également allégué que ceux-ci n’avaient pas prouvé que ces avis lui avaient été adressés sans délai. Elle a ainsi clairement satisfait à son obligation d’allégation au sens de la jurisprudence citée plus haut. A toutes fins utiles on précisera que s’agissant d’un devoir d’allégation, la simple mention dans les plaidoiries écrites, à laquelle se réfère l’appelante, d’une telle contestation est insuffisante. 4.2.5 L’appelante conteste donc l’appréciation faite par les premiers juges que les avis des défauts lui aient été transmis dans les délais. A titre liminaire, on relèvera que la question ne doit être posée que pour les défauts concernant les conduites de canalisation et de drainage ainsi que ceux de la toiture, les autres défauts n’ayant pas fait l’objet d’une indemnisation par les premiers juges. Quant au respect du délai d’avis des défauts, le jugement attaqué retient pour l’ensemble des défauts litigieux que l’avis des défauts du 19 juin 2012 a été adressé à l’appelante immédiatement après leur découverte, dans la mesure où aucun élément du dossier ne permet de considérer que tel n’aurait pas été le cas. 4.2.6 En cas de contestation par le vendeur du fait que l’avis des défauts a été adressé en temps utile, l’acheteur doit donc alléguer et prouver que ledit avis a été envoyé en temps utile. Cela implique que soient allégués non seulement la date d'envoi de l’avis des défauts mais également la date à laquelle les défauts ont été découverts afin que le tribunal puisse déterminer si le délai entre celle-ci et l’avis est conforme. Or, en l’espèce, les premiers juges ne procèdent pas à une analyse du délai entre la découverte des défauts et l’avis. L’état de fait ne contient en effet pas la date – ou même la période – de découverte des défauts dont les intimés entendent se prévaloir. Ces derniers ont uniquement allégué, comme on l’a vu, que « [l]es défauts de la chose vendue ont été avisés immédiatement après leur découverte » (all. 68 de la demande), sans plus ample détail. Les autres écritures des intimés ne contiennent aucune référence à la découverte des défauts allégués. En particulier, s’agissant des défauts des canalisations, les allégués 15 à 27 de la demande ne contiennent aucune référence quant à la date de l’apparition des défauts. Quant aux défauts de la toiture, évoqués aux allégués 35 à 48 de la demande, leur découverte ne fait pas plus l’objet d’une allégation circonstanciée. L’allégué 168 de la réplique – dont la teneur est la suivante : « Les nombreuses pièces produites par les Demandeurs [ndr : les intimés] en procédure, prouvent à satisfaction combien ils ont été diligents et réactifs alors qu’ils ne savaient rien de l’étendue et des points de départ des garanties, respectivement sous réception d’ouvrage survenue en bonne et due forme » – n’est pas plus explicite. Il n’en va différemment de l’allégué 207 relatif à des avis des défauts adressés entre le 5 mai 2015 et le 12 avril 2016 ou de l’allégué 247, très général. En définitive, force est de constater, comme le soulève l’appelante, que les intimés n’ont pas respecté leur devoir d’allégation, et en conséquence, de preuve, s’agissant de la date de découverte des défauts. Le fait que les défauts concernés soient des défauts cachés – ce qui ne paraît pas contesté – n’y change rien. En effet, il revenait aux intimés d’exposer clairement les circonstances de la découverte des défauts et le cas échéant, de préciser leur étendue au moment de l’avis, respectivement d’indiquer que l’avis était intervenu dès que les défauts étaient suffisamment déterminables, ce qu’ils n’ont pas fait. 4.2.7 Les intimés ont allégué en procédure que l’appelante avait admis que les avis des défauts avaient été donnés à temps, respectivement qu’elle aurait renoncé à invoquer leur tardiveté (all. 175, 203, 211 et 246 de la réplique). Les pièces produites à l’appui de ces allégations ne contiennent toutefois pas une telle renonciation, la seule admission de l’existence de défauts, respectivement les démarches entreprises par l’appelante à l’encontre des divers entrepreneurs intervenus sur le chantier, ne pouvant constituer un tel abandon. Les rapports d’expertise à futur ne sauraient également constituer une déclaration en ce sens de l’appelante. Au surplus, les déclarations des témoins ou des intimés ne sont pas plus probantes. 4.2.8 En conséquence, il convient d’admettre que c’est à tort que les premiers juges ont admis que les avis des défauts, singulièrement celui adressé par l’ancien conseil des intimés le 19 juin 2012, avaient été adressés dans les délais. Partant, les intimés n’ont pas établi avoir respecté les incombances qui leur reviennent en application des dispositions légales et de la jurisprudence et ils sont déchus de leur droit de garantie. 5. Au vu de ce qui précède, il n’est pas nécessaire d’examiner les autres griefs soulevés par l’appelante.</w:t>
      </w:r>
    </w:p>
    <w:p>
      <w:r>
        <w:rPr>
          <w:b/>
        </w:rPr>
        <w:t>E. 6.1</w:t>
      </w:r>
    </w:p>
    <w:p>
      <w:r>
        <w:t>En définitive, l’appel doit être admis et le jugement attaqué réformé dans le sens où l’ensemble des conclusions prises en première instance par les intimés sont rejetées.</w:t>
      </w:r>
    </w:p>
    <w:p>
      <w:r>
        <w:rPr>
          <w:b/>
        </w:rPr>
        <w:t>E. 6.2.1</w:t>
      </w:r>
    </w:p>
    <w:p>
      <w:r>
        <w:t>Selon l’art. 318 al. 3 CPC, si l’instance d’appel statue à nouveau, elle se prononce sur les frais – soit les frais judiciaires et les dépens (art. 95 al. 1 CPC) – de la première instance.</w:t>
      </w:r>
    </w:p>
    <w:p>
      <w:r>
        <w:rPr>
          <w:b/>
        </w:rPr>
        <w:t>E. 6.2.2</w:t>
      </w:r>
    </w:p>
    <w:p>
      <w:r>
        <w:t>L’appelante obtenant entièrement gain de cause, il y a lieu de mettre les frais judiciaires de première instance – arrêtés à 42'011 fr. 75 pour la procédure au fond, à 1'700 fr. pour la procédure de conciliation et à 11'546 fr. 70 pour la procédure de preuve à futur, et non contestés – entièrement à la charge des intimés, solidairement entre eux, qui succombent (art. 106 al. 1 et 3 et art. 207 al. 2 CPC). Les intimés, solidairement entre eux, verseront à l’appelante les sommes de 2’600 fr. à titre de restitution de son avance des frais judiciaires de la procédure au fond et de 1'301 fr. 40 à titre de restitution de son avance de frais judiciaires de la procédure de preuve à futur (art. 111 al. 2 CPC).</w:t>
      </w:r>
    </w:p>
    <w:p>
      <w:r>
        <w:rPr>
          <w:b/>
        </w:rPr>
        <w:t>E. 6.2.3</w:t>
      </w:r>
    </w:p>
    <w:p>
      <w:r>
        <w:t>La valeur litigieuse ayant été de 600'000 fr. (cf. conclusions prises par les intimés le 31 octobre 2016 et le 30 septembre 2022), la charge des dépens de première instance évaluée à 52'500 fr. par les premiers juges peut être ici confirmée (cf. art. 4 al. 1 TDC [tarif des dépens en matière civile du 23 novembre 2010 ; BLV 270.11.6]). Succombant entièrement, les intimés, solidairement entre eux, verseront à l’appelante la somme précitée à titre de dépens de première instance (art. 111 al. 2 CPC).</w:t>
      </w:r>
    </w:p>
    <w:p>
      <w:r>
        <w:rPr>
          <w:b/>
        </w:rPr>
        <w:t>E. 6.2.4</w:t>
      </w:r>
    </w:p>
    <w:p>
      <w:r>
        <w:t>La garantie bancaire ayant été restituée le 15 mars 2024 à l’intimé, par l’intermédiaire de son conseil, au profit d’un versement de 15'000 fr. par l’intimé, il n’y a pas lieu de maintenir le chiffre VII du dispositif du jugement querellé. La conclusion de l’appelante relative au maintien du chiffre VII du dispositif du jugement n’a ainsi plus d’objet. En conséquence, les sûretés versées par l’intimé à hauteur de 15'000 fr. seront libérées en faveur de l’appelante en paiement partiel des dépens de première instance qui lui sont dus.</w:t>
      </w:r>
    </w:p>
    <w:p>
      <w:r>
        <w:rPr>
          <w:b/>
        </w:rPr>
        <w:t>E. 6.3</w:t>
      </w:r>
    </w:p>
    <w:p>
      <w:r>
        <w:t>Les frais judiciaires de deuxième instance, arrêtés à 4'074 fr. (art. 62 al. 1 TFJC [tarif des frais judiciaires civils du 28 septembre 2010 ; BLV 270.11.5]), seront mis à la charge des intimés, solidairement entre eux, qui succombent (art. 106 al. 1 CPC). Vu l’issue du litige, l’appelante a également droit à de pleins dépens de deuxième instance pour l’intervention de son conseil. Ces dépens seront arrêtés, compte tenu de l’importance de la cause, de ses difficultés, de l’ampleur du travail et du temps consacré à la procédure d’appel, à 5'000 fr. (art. 3 al. 2 et 7 al. 1 TDC). En définitive, les intimés, solidairement entre eux, verseront à l’appelante la somme de 9'074 fr. à titre de restitution de l’avance de frais judiciaires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