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255 vom 17. Mai 2024</w:t>
      </w:r>
    </w:p>
    <w:p>
      <w:r>
        <w:t>VD Tribunal cantonal, 2024-05-17, FR</w:t>
      </w:r>
    </w:p>
    <w:p>
      <w:r>
        <w:rPr>
          <w:b/>
        </w:rPr>
        <w:t xml:space="preserve">Quelle: </w:t>
      </w:r>
      <w:r>
        <w:t>https://mcp.opencaselaw.ch/entscheid/vd_findinfo_HC___2024___255</w:t>
      </w:r>
    </w:p>
    <w:p>
      <w:r>
        <w:t>FR: VD_FINDINFO HC / 2024 / 255 du 17 mai 2024</w:t>
      </w:r>
    </w:p>
    <w:p>
      <w:r>
        <w:t>IT: VD_FINDINFO HC / 2024 / 255 del 17 maggio 2024</w:t>
      </w:r>
    </w:p>
    <w:p>
      <w:pPr>
        <w:pStyle w:val="Heading2"/>
      </w:pPr>
      <w:r>
        <w:t>Regeste</w:t>
      </w:r>
    </w:p>
    <w:p>
      <w:r>
        <w:t>EXPERTISE, INTERPRÉTATION{PROCÉDURE}, INTERPRÉTATION{SENS GÉNÉRAL}, PRINCIPE DE LA CONFIANCE{INTERPRÉTATION DU CONTRAT}, PRIX FERME | 18 CO, 33 CO, 363 CO, 373 CO, 394 CO, 152 al. 2 CPC (CH), 317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al. 1 CPC).</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 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w:t>
      </w:r>
    </w:p>
    <w:p>
      <w:r>
        <w:rPr>
          <w:b/>
        </w:rPr>
        <w:t>E. 3.1</w:t>
      </w:r>
    </w:p>
    <w:p>
      <w:r>
        <w:t>L'appelante soutient que le deuxième complément d'expertise (du 17 janvier 2022) aurait dû être retranché du dossier. Elle fait valoir que l’intimée l'a requis tardivement, soit deux mois après l’achèvement de la procédure probatoire, sans demander à introduire des novas, de manière contraire aux règles du CPC. Il s'agirait en réalité d'une nouvelle expertise, et cette preuve illicite devrait être retranchée du dossier.</w:t>
      </w:r>
    </w:p>
    <w:p>
      <w:r>
        <w:rPr>
          <w:b/>
        </w:rPr>
        <w:t>E. 3.2.1</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La preuve obtenue illicitement n'est utilisable que d'une manière restrictive. Le juge doit en particulier procéder à une pesée de l'intérêt à la protection du bien lésé par l'obtention illicite et de l'intérêt à la manifestation de la vérité (ATF 140 III 6 consid. 3.1). La maxime procédurale applicable dans le cas particulier peut jouer un rôle à ce dernier égard (TF 5A_643/2020 du 11 septembre 2020 consid. 4.3.2). On admettra plus facilement que l’intérêt à la manifestation de la vérité l’emporte lorsque la maxime inquisitoire et/ou d’office est applicable que si la maxime des débats s’applique (ATF 139 II 7 consid. 6.4.1). Quoiqu’il en soit l’utilisation de moyens de preuve obtenus à la suite d’une ingérence illicite dans la sphère privée ne doit être admise qu’avec une grande réserve (ATF 139 II 7 consid. 6.4.1).</w:t>
      </w:r>
    </w:p>
    <w:p>
      <w:r>
        <w:rPr>
          <w:b/>
        </w:rPr>
        <w:t>E. 3.2.2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II appartient à l'appelant de démontrer que ces conditions sont réalisées, de sorte que l'appel doit indiquer spécialement de tels faits et preuves nouveaux et motiver spécialement les raisons qui les rendent admissibles selon lui (ATF 143 III 42 consid. 4.1 et réf. cit., JdT 2017 II 342).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w:t>
      </w:r>
    </w:p>
    <w:p>
      <w:r>
        <w:rPr>
          <w:b/>
        </w:rPr>
        <w:t>E. 3.3</w:t>
      </w:r>
    </w:p>
    <w:p>
      <w:r>
        <w:t>Le juge délégué a admis le 28 septembre 2021 la requête de complément d’expertise formée le 23 août 2021 par l’intimée qui cherchait à savoir si l'expert confirmait, complétait ou modifiait les réponses de ses rapports des 25 mars 2020 et 22 février 2021 compte tenu des déclarations d’un témoin inconnues de l'expert car postérieures au dépôt de ses rapports. La requête ne visait donc pas un nouvel élément mais tendait bien à un « réexamen » des réponses fournies par l’expert sur la base d’un élément dont les différents intervenants – y compris l’expert – n’avaient pas connaissance à l’époque du premier rapport d’expertise. Le CPC ne précise pas l’ordre dans lequel les mesures d’instruction doivent être menées et ne détermine pas en particulier si les auditions de témoins doivent nécessairement avoir lieu avant l’expertise. En conséquence, si les témoins sont entendus après le dépôt d’un rapport d’expertise – ce qui n’est pas prohibé par les règles de procédure –, leurs déclarations pourraient susciter la remise en question des conclusions de l’expert. L’art. 187 al. 4 CPC ne prévoit, en matière de complément d'expertise, qu'un deuxième tour de questions (« des explications ou […] des questions complémentaires »). Toutefois, la doctrine admet que, sur requête motivée, ou même selon sa propre initiative, le tribunal ordonne un deuxième complément si l'expertise n'est toujours pas complète (Philippe Schweizer in CR CPC, n. 14 ad art. 187 CPC). En l'occurrence, si les témoins avaient été entendus avant la mise en œuvre de l'expertise, il n'y aurait eu aucune polémique : l'expert aurait répondu aux mêmes questions, en ayant accès à ce témoignage. Aussi, comme l’a relevé le juge délégué, il n’y a pas lieu de péjorer la situation de l’intimée au motif qu’en l’espèce les témoins ont été entendus après le dépôt du deuxième rapport d’expertise, la doctrine admettant au demeurant de poser des questions complémentaires à l’expert. C’est ainsi à bon droit que la requête de retranchement du rapport du 17 janvier 2022 a été rejetée. Le grief de l’appelante doit l’être également.</w:t>
      </w:r>
    </w:p>
    <w:p>
      <w:r>
        <w:rPr>
          <w:b/>
        </w:rPr>
        <w:t>E. 4.1</w:t>
      </w:r>
    </w:p>
    <w:p>
      <w:r>
        <w:t>L'appelante soutient, dans un chapitre intitulé « l'avis contestable de l'expert », que les travaux supplémentaires auraient dû faire l'objet d'avenants, les contrats de base du 14 août 2009 prévoyant à leur chiffre 13 « [qu’]en cas de modification du choix et de la qualité d'aménagement, l'entreprise générale proposera des prix calculés sur la base de la soumission ». Faute pour l’intimée d'avoir souscrit à cette formalité, elle ne pourrait prétendre à rien à ce titre. L'interprétation de cette clause contractuelle faite par les premiers juges serait insoutenable. En page 8 de son appel, l’appelante conteste par ailleurs le décompte final effectué par l'expert pour les prix forfaitaires. Le total des contrats serait de 436'550 fr. et pas de 552'000 fr. comme retenu par l'expert. L’appelante aurait payé 438'500 fr. à l’intimée, donc plus que le montant forfaitaire total. Elle admet ensuite qu'un solde pourrait être envisageable en faveur de l’intimée et qu’il pourrait s’élever à 5'050 fr. correspondant, selon elle, à un « versement supplémentaire de 1'950 fr. à déduire de la retenu de 6'000 fr. (sic) ».</w:t>
      </w:r>
    </w:p>
    <w:p>
      <w:r>
        <w:rPr>
          <w:b/>
        </w:rPr>
        <w:t>E. 4.2</w:t>
      </w:r>
    </w:p>
    <w:p>
      <w:r>
        <w:t>Selon les règles d'interprétation des contrats déduites de l'art. 18 CO – applicables à la convention conclue par les parties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du 6 septembre 2021 consid. 3.2).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réf. cit. ; TF 4A_180/2022 du 5 juillet 2022 consid. 4.2 ; TF 4A_177/2021 du 6 septembre 2021 consid. 3.2). Subsidiairement, si l'interprétation selon le principe de la confiance ne permet pas de dégager le sens de clauses ambiguës, celles-ci sont à interpréter contre celui qui les a rédigées, en vertu de la règle « in dubio contra stipulatorem » (ATF 146 III 339 consid. 5.2.3 ; ATF 133 III 61 consid. 2.2.2.3 ; TF 4A_226/2017 du 23 octobre 2017 consid. 3.1).</w:t>
      </w:r>
    </w:p>
    <w:p>
      <w:r>
        <w:rPr>
          <w:b/>
        </w:rPr>
        <w:t>E. 4.3</w:t>
      </w:r>
    </w:p>
    <w:p>
      <w:r>
        <w:t>Le tribunal a estimé que le chiffre 13 des contrats du 14 août 2009 signifiait qu’en cas de modification de commande, les prix des travaux supplémentaires devaient être calculés conformément à la soumission, comme le disait d'ailleurs l'expert. Même à la considérer peu claire, cette clause devait être interprétée en défaveur de l’appelante qui en était la rédactrice. Les premiers juges ont relevé que l’appelante avait admis avoir demandé la pose de tablettes Ecomur à titre de travaux supplémentaires, sans qu'il y ait une nouvelle soumission ni un avenant au contrat de base, et avoir payé ces travaux, si bien qu’elle admettait à tout le moins l’éventualité de travaux supplémentaires sans soumission. L’appréciation du tribunal est bien fondée et doit être suivie. La « modification du choix » figurant au chiffre 13 se réfère aux « plans pour étude du forfait avant le début du chantier » dont il est fait mention dans la même clause et on comprend qu’il s’agit de ce qu’on pourrait qualifier de « plus-values » et pas de travaux supplémentaires. L’appelante ne se prononce pas sur l’argument des premiers juges relatifs aux tablettes Ecomur, que l’on peut reprendre purement et simplement. Le grief concernant le décompte des prix forfaitaires doit aussi être écarté. L’appelante oublie le sixième contrat du 30 décembre 2010 portant sur 116'000 francs. Aussi, compte tenu des montants forfaitaires des six villas objets de la présente cause (92'950 fr. pour la villa A + 86'300 fr. pour la villa B1 + 86'300 fr. pour la villa B2 + 85'700 fr. pour la villa C1 + 85'300 fr. pour la villa C2 + 116'000 fr. pour la villa [...]), le total auquel parvient l’expert, par 552'550 fr. est exact. Il est vrai que l’appelante a versé un total d’acomptes de 438'500 fr. pour les cinq premiers contrats (villas A, B1, B2, C1 et C2). Néanmoins, l'expert a précisé expressément que la fourniture des tablettes Ecomur pour 9'000 fr. constitue du travail supplémentaire non compris dans les soumissions ni dans les contrats et qu'il subsiste donc un solde sur les forfaits (cf. consid. C.7 supra ).</w:t>
      </w:r>
    </w:p>
    <w:p>
      <w:r>
        <w:rPr>
          <w:b/>
        </w:rPr>
        <w:t>E. 5.1</w:t>
      </w:r>
    </w:p>
    <w:p>
      <w:r>
        <w:t>L'appelante persiste à soutenir qu'elle n'a aucun lien contractuel avec l’intimée, qu'elle ne faisait que représenter les maîtres des ouvrages et qu'elle agissait uniquement comme architecte. Le tribunal aurait interprété les contrats de manière contraire à leur texte, pourtant clair. L’appelante ayant annoncé son pouvoir de représentation, le contrat aurait dû être interprété selon le principe de la confiance et l’intimée aurait dû adresser ses factures pour des travaux supplémentaires aux propriétaires.</w:t>
      </w:r>
    </w:p>
    <w:p>
      <w:r>
        <w:rPr>
          <w:b/>
        </w:rPr>
        <w:t>E. 5.2.1</w:t>
      </w:r>
    </w:p>
    <w:p>
      <w:r>
        <w:t>La qualité pour défendre (ou légitimation passive)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et réf. cit., JdT 2010 1514). Comme pour la qualité pour agir (légitimation active ; ATF 130 III 417 consid. 3.1, JdT 2004 I 268), le fardeau de la preuve (et de l'allégation) des faits qui fondent la qualité pour défendre incombe au demandeur, ce qui correspond à la règle générale de l'art. 8 CC.</w:t>
      </w:r>
    </w:p>
    <w:p>
      <w:r>
        <w:rPr>
          <w:b/>
        </w:rPr>
        <w:t>E. 5.2.2</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 e éd., 2019, n. 7 pp. 3-4). L'ouvrage est le produit, concrétisé matériellement, d'un travail consistant à modifier une situation de fait : quelque chose a été créé, transformé ou supprimé (Tercier/Bieri/Carron, Les contrats spéciaux, 5 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qui n'aura pas de relation contractuelle avec le maître, mais seulement avec l'entrepreneur principal (cf. Tercier/Bieri/Carron, op. cit., nn. 3586 et 3598). Dans le cas du contrat d'entreprise totale, l'entrepreneur s'engage non seulement à réaliser l'ouvrage, mais encore à établir les projets et les plans (Tercier/Bieri/Carron, op. cit., n. 3582).</w:t>
      </w:r>
    </w:p>
    <w:p>
      <w:r>
        <w:rPr>
          <w:b/>
        </w:rPr>
        <w:t>E. 5.2.3</w:t>
      </w:r>
    </w:p>
    <w:p>
      <w:r>
        <w:t>En vertu de l'art. 394 CO, le mandat est un contrat par lequel le mandataire s'oblige, dans les termes de la convention, à gérer l'affaire dont il s'est chargé ou à rendre les services qu'il a promis. L'al. 2 de cette disposition précise que les règles du mandat s'appliquent aux travaux qui ne sont pas soumis aux dispositions légales régissant d'autres contrats. L'obligation principale du mandat est une obligation de moyens ; ainsi comprise, elle se distingue par son intensité de celle du contrat d'entreprise, qui est une obligation de résultat. La distinction entre ces deux types d'obligation dépend, en l'absence d'une convention explicite des parties, de l'aléa du résultat (Franz Werro, Code des obligations I, Commentaire romand, 2 e éd., Bâle 2012 [ci-après : CR CO I], n. 5 ad art. 394 CO). Dans la construction, il est fréquent que le maître de l'ouvrage charge une personne, en général un architecte ou un ingénieur, de la direction des travaux. Celle-ci repose sur un contrat de mandat, puisqu'il est impossible à celui qui en est chargé de garantir le résultat du travail de ceux qu'il dirige, faute de quoi il serait un véritable entrepreneur général (ATF 114 II 53 consid. 2b, JT 1988 I 360 ; ATF 110 II 380 consid. 2, JT 1985 I 274). Le directeur des travaux est le représentant direct du maître dans les rapports avec les entreprises et les autres personnes participant à la construction. L'étendue de ses pouvoirs dans les rapports avec le maître est déterminée par le contrat, au besoin par les conditions générales qui y sont intégrées. Il faut en plus qu'il manifeste au tiers qu'il agit au nom du maître (Tercier/ Bieri/Carron, op cit., n. 3609 ; François Chaix, CR CO I, n. 28 ad art. 363 CO).</w:t>
      </w:r>
    </w:p>
    <w:p>
      <w:r>
        <w:rPr>
          <w:b/>
        </w:rPr>
        <w:t>E. 5.2.4</w:t>
      </w:r>
    </w:p>
    <w:p>
      <w:r>
        <w:t>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(TF 4A_341/2021 du 15 décembre 2021 consid. 4.1.2 ; ATF 146 III 37 consid. 7.1 ; ATF 131 III 511 consid. 3.1 ; ATF 120 II 197 consid. 2). Dans le deuxième cas de figure, soit en l'absence de pouvoirs internes du représentant, le tiers cocontractant est protégé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(art. 33 al. 3 CO ; TF 4A_341/2021 précité consid. 4.1.2 ; ATF 146 III 121 consid. 3.2.2 ; ATF 124 III 418 consid. 1c ; ATF 120 II 197 consid. 2b/cc). Le représenté qui a créé l'apparence d'un rapport de représentation ou a laissé s'en créer un doit souffrir, en vertu du principe de la confiance (ou de l'apparence efficace), que le tiers de bonne foi lui impute tous les effets des actes accomplis en son nom (ATF 131 III 511 consid. 3.2.1). Il ne s'agit plus ici de protéger les intérêts du représenté, mais, dans une certaine mesure, ceux du tiers cocontractant et par là la sécurité des transactions (TF 4A_341/2021 précité ibidem ).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 ceux qu'il avait effectivement conférés au représentant à titre interne (TF 4A_341/2021 précité consid. 6.1 ; ATF 146 III 37 consid. 7.1.2.1 ; ATF 131 III 511 consid. 3.2 ; ATF 124 III 418 consid. lc ; ATF 120 II 197 consid. 2b/cc). La portée de la communication doit être examinée avant tout selon le principe de la confiance. En vertu de ce principe, une personne représentée sans sa volonté doit être considérée comme obligée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Pour qu'il y ait communication (Vollmachtskundgabe), le représenté doit avoir porté à la connaissance du tiers une procuration externe qui va au-delà des pouvoirs qu'il a effectivement conférés au représentant (par procuration interne). La communication peut être tacite : elle peut être déduite du comportement du représenté et, au cas où le tiers ne comprend pas la communication comme le représenté l'entendait, elle sera interprétée selon le principe de la confiance. Conformément à ce principe, il faut que l'attitude du représenté puisse être objectivement comprise comme la communication de pouvoirs au tiers ; il n'est pas nécessaire que le représenté ait conscience de faire une communication, pourvu qu'elle lui soit objectivement imputable en raison des circonstances qu'il connaissait ou aurait dû connaître (TF 4A_341/2021 précité consid. 6.3.1 ; ATF 120 II 197 consid. 2b/cc ; Tercier/Pichonnaz, Le droit des obligations,</w:t>
      </w:r>
    </w:p>
    <w:p>
      <w:r>
        <w:rPr>
          <w:b/>
        </w:rPr>
        <w:t>E. 5.3</w:t>
      </w:r>
    </w:p>
    <w:p>
      <w:r>
        <w:t>Le tribunal a relevé que les contrats prévoyaient que l’appelante agissait « au nom et pour le compte des maîtres de l'ouvrage, par l'entreprise générale ». Malgré la contradiction contenue dans cette formulation, les éléments au dossier démontraient à l’évidence que l’appelante n’avait pas agi en qualité de représentante des propriétaires. Ainsi, le tribunal a remarqué que l’intimée n’était liée par aucun contrat avec les propriétaires, lesquels avaient conclu un contrat d’entreprise générale avec l’appelante et ne lui avaient donné aucun pouvoir de représentation. De plus, les factures des travaux avaient toutes été envoyées à l’appelante, qui s’était comportée sur les chantiers comme une entreprise générale, rémunérant et donnant des instructions aux intervenants qui se considéraient liés à l’appelante. Les contrats liant l’appelante aux propriétaires des différentes villas sont tous libellés « contrat d’entreprise générale », prévoient la livraison d’un ouvrage « clé en main », payable à forfait, et sont signés par l’appelante à titre « [d’]entreprise générale ». C’est également en cette qualité que l’appelante a signé les contrats avec l’intimée. Comme cela a été relevé par les premiers juges, toutes les factures de l’intimée ont été adressées à l’appelante et payées par celle-ci. Aussi, c’est en vain que l’appelante soutient qu’il devrait en aller autrement s’agissant des travaux supplémentaires, le raisonnement des premiers juges pouvant être intégralement confirmé. Contrairement à ce que l’appelante fait valoir, la mention figurant dans les contrats entre les parties « au nom et pour le compte des maîtres de l'ouvrage, par l'entreprise générale » n’est pas claire, voire contradictoire. Aussi, une interprétation desdits contrats selon le principe de la confiance n’aboutirait pas à un résultat différent et ne permettrait en tous les cas pas d’appuyer la thèse de l’appelante selon laquelle elle n’aurait été qu’une intermédiaire. On ne peut dès lors pas considérer que le rôle de l’appelante se limitait à représenter les maîtres des ouvrages et son grief doit être rejeté.</w:t>
      </w:r>
    </w:p>
    <w:p>
      <w:r>
        <w:rPr>
          <w:b/>
        </w:rPr>
        <w:t>E. 6</w:t>
      </w:r>
    </w:p>
    <w:p>
      <w:r>
        <w:t>e éd., 2019, n. 479).</w:t>
      </w:r>
    </w:p>
    <w:p>
      <w:r>
        <w:rPr>
          <w:b/>
        </w:rPr>
        <w:t>E. 6.1</w:t>
      </w:r>
    </w:p>
    <w:p>
      <w:r>
        <w:t>Invoquant les règles du Code des obligations, l'appelante soutient que les prix forfaitaires convenus ne souffraient aucun dépassement et excluaient ainsi toute rémunération supplémentaire. Se fondant sur la Norme SIA 118, l’appelante estime par ailleurs que le travail fourni par l’intimée ne réalisait pas les conditions requises pour être considéré comme suffisamment différent de ce qui avait été initialement convenu dans les contrats. Partant, ce « travail supplémentaire » ne pouvait pas être qualifié comme tel et ne pouvait pas donner lieu à une rémunération complémentaire.</w:t>
      </w:r>
    </w:p>
    <w:p>
      <w:r>
        <w:rPr>
          <w:b/>
        </w:rPr>
        <w:t>E. 6.2</w:t>
      </w:r>
    </w:p>
    <w:p>
      <w:r>
        <w:t>Les art. 373 à 375 CO déterminent les règles relatives à la fixation du prix dans le contrat d'entreprise. 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2 CO), c'est l'entrepreneur qui supporte seul le risque du prix. A l'inverse, le maître est tenu de payer le prix intégral, même si l'ouvrage a exigé moins de travail que ce qui avait été prévu (al. 3). Lorsque les parties sont convenues de prix effectifs (« d'après la valeur du travail » : art. 374 CO), le risque du prix est supporté par le maître ; il en va de même en cas de dépassement non excessif du devis au sens de l'art. 375 CO (TF 4C.346/2003 du 26 octobre 2004).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(Gauch, op. cit., n. 1095). Il se peut qu'il doive répondre de cette inexactitude sur la base d'une culpa in contrahendo , en cas d'intention ou de négligence. Le cas échéant, il peut y avoir concours entre les prétentions tirées de l'art. 373 al. 2 CO et de la responsabilité pour culpa in contrahendo (Gauch, op. cit., n. 1103 ; Fellmann, Fehlerhaftes Leistungsverzeichnis, in Koller [éd.] SIA-Norm 118, St-Gall 2000, p. 112 ; Peer, Das Leistungsverzeichnis bei Bauwerkverträgen, Zurich 2018, nn. 591 à 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(Tercier et al. , op. cit., n. 4002 ; cf. aussi Peer, op. cit., nn. 484 à 486, en cas de lacunes dans le descriptif des travaux ; Gauch, op. cit.,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lesdites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II 314 ; cf. aussi ATF 58 II 422 spéc. p. 423 ; Tercier et al. , op. cit., nn. 4013 ss ; Gauch, op. cit.,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 ATF 104 II 314 consid. b ; Gauch, op. cit., nn. 1092 ss).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 ATF 50 II 158 consid. 4 ; Tercier et al. , op. cit., n. 4026 ; Chaix, in CR CO, n. 29 ad art. 373 CO ; Gauch, op. cit., n. 1115). Une autre exception au caractère définitif du prix ferme intervient en cas de modification de commande. Le prix ferme arrêté par les parties n'est, en effet, déterminant que pour l'ouvrage alors projeté, sans modifications qualitatives ou quantitatives (TF 4C.203/2005 du 9 janvier 2006 consid. 4.1, rés. in Droit de la construction [DC] 2006, p. 66 n. 211).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 433/2017 du 29 janvier 2018 consid. 3.1.2 ;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réf. cit. ; TF 4C.23/2004 du 14 décembre 2004 consid. 4.1).</w:t>
      </w:r>
    </w:p>
    <w:p>
      <w:r>
        <w:rPr>
          <w:b/>
        </w:rPr>
        <w:t>E. 6.3</w:t>
      </w:r>
    </w:p>
    <w:p>
      <w:r>
        <w:t>Il ressort de son rapport que l’expert a méthodiquement fait le tri entre les travaux qu’il estimait être compris dans la soumission de base et ceux qui étaient nouveaux et justifiaient dès lors une rémunération complémentaire. Ainsi, à titre d’exemple, s’agissant de l’ouvrage des époux [...], l’expert n’a pas admis les « divers travaux en suppléments » annoncés dans la facture du 13 septembre 2011, faute de justificatifs. L’expert a en outre estimé que la recherche de « bane d’eau potable » figurant dans la facture du 4 juin 2012 faisait partie du contrat initial. A l’inverse, la réfection des aménagements extérieurs facturée à la même date n’était, selon lui, pas comprise dans le contrat de base et constituait donc bien un travail supplémentaire justifiant une rémunération complémentaire. Par ailleurs, l’expert a clairement exposé son raisonnement et les motifs pour lesquels il a retenu ou écarté les travaux complémentaires. Il a en particulier exposé les questions qu’il se posait au moment de son analyse et les dispositions de la Norme SIA 118 sur lesquelles il fondait ses explications (cf. consid. B.16.a supra ). C’est ainsi en vain que l’appelante remet en cause l’appréciation de l’expert de façon générale. Elle échoue à avancer de justes motifs pour s’écarter des constatations de l’expert et ne remet pas valablement en cause le raisonnement des premiers juges qui se sont fondés sur celles-ci ni le résultat auquel ils aboutissent (cf. CACI 11 décembre 2023/495 consid. 3.3.3 dans lequel la Cour d’appel civile a écarté un grief similaire de l’appelant au motif en particulier que les travaux complémentaires avaient fait l’objet d’une instruction poussée pour considérer qu’ils devaient être rémunérés en sus du prix forfaitaire convenu). Il est au demeurant rappelé que le juge ne peut pas, sans motifs déterminants, substituer son appréciation à celle de l'expert, sous peine de verser dans l'arbitraire (TF 5A_465/2016 du 19 janvier 2017 consid. 5.2.2 et réf. cit. ; TF 4A_612/2015 du 9 mai 2016 consid. 3.3 ; TF 4A_483/2014 du 25 novembre 2014 consid. 6.1), et ne peut s’écarter d’un rapport que lorsque des circonstances ou des indices importants et bien établis, qu'il lui incombe d'indiquer, en ébranlent sérieusement la crédibilité (ATF 141 IV 369 consid. 6.1 ; TF 5A_266/2017 du 29 novembre 2017 consid. 6.3). Le grief de l’appelante doit être rejeté.</w:t>
      </w:r>
    </w:p>
    <w:p>
      <w:r>
        <w:rPr>
          <w:b/>
        </w:rPr>
        <w:t>E. 7</w:t>
      </w:r>
    </w:p>
    <w:p>
      <w:r>
        <w:t>En définitive, l’appel, manifestement infondé, doit être rejeté en application de l’art. 312 al. 1 in fine CPC et le jugement querellé confirmé. L’appelante, qui succombe, supportera les frais judiciaires de deuxième instance (art. 106 al. 1 CPC), arrêtés à 1'779 fr. (art. 62 al. 1 TFJC [tarif des frais judiciaires civils du 28 septembre 2010 ; BLV 270.11.5]). Il n’y a pas lieu à l’allocation de dépens, l’intimée n’ayant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