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24 vom 5. Februar 2024</w:t>
      </w:r>
    </w:p>
    <w:p>
      <w:r>
        <w:t>VD Tribunal cantonal, 2024-02-05, FR</w:t>
      </w:r>
    </w:p>
    <w:p>
      <w:r>
        <w:rPr>
          <w:b/>
        </w:rPr>
        <w:t xml:space="preserve">Quelle: </w:t>
      </w:r>
      <w:r>
        <w:t>https://mcp.opencaselaw.ch/entscheid/vd_findinfo_HC___2024___24</w:t>
      </w:r>
    </w:p>
    <w:p>
      <w:r>
        <w:t>FR: VD_FINDINFO HC / 2024 / 24 du 5 février 2024</w:t>
      </w:r>
    </w:p>
    <w:p>
      <w:r>
        <w:t>IT: VD_FINDINFO HC / 2024 / 24 del 5 febbraio 2024</w:t>
      </w:r>
    </w:p>
    <w:p>
      <w:pPr>
        <w:pStyle w:val="Heading2"/>
      </w:pPr>
      <w:r>
        <w:t>Regeste</w:t>
      </w:r>
    </w:p>
    <w:p>
      <w:r>
        <w:t>SERVITUDE, SERVITUDE DE RESTRICTION DE BÂTIR, SERVITUDE FONCIÈRE, SERVITUDE DE NON-BÂTIR, MESURE PROVISIONNELLE, INTERPRÉTATION{SENS GÉNÉRAL}, PRINCIPE DE LA CONFIANCE{INTERPRÉTATION DU CONTRAT}, DOMMAGE IRRÉPARABLE | 730 CC, 738 CC, 261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Il relève de la compétence d'un juge unique (art. 84 al. 2 LOJV [Loi d'organisation judicaire du 12 décembre 1979 ; BLV 173.01]). Les décisions portant sur des mesures provisionnelles étant régies par la procédure sommaire (art. 248 let. d CPC), le délai pour l'introduction de l'appel est de dix jours (art. 314 al. 1 CPC). L'appel doit être écrit et motivé (art. 311 al. 1 CPC).</w:t>
      </w:r>
    </w:p>
    <w:p>
      <w:r>
        <w:rPr>
          <w:b/>
        </w:rPr>
        <w:t>E. 1.2</w:t>
      </w:r>
    </w:p>
    <w:p>
      <w:r>
        <w:t>En l’espèce, formé en temps utile par une partie qui a un intérêt digne de protection (art. 59 al. 2 let. a CPC) et portant sur une valeur litigieuse supérieure à 10'000 fr., l’appel, écrit et motivé (art. 311 al. 1 CPC), est recevable. La réponse, déposée dans le délai imparti pour ce faire, est recevable. La réplique spontanée l’est également en vertu du droit des parties d’être entendues (ATF 142 III 48 consid. 4.1.1 et réf. cit. ; TF 5A_294/2020 du 14 décembre 2020 consid. 3.2.1).</w:t>
      </w:r>
    </w:p>
    <w:p>
      <w:r>
        <w:rPr>
          <w:b/>
        </w:rPr>
        <w:t>E. 2</w:t>
      </w:r>
    </w:p>
    <w:p>
      <w:r>
        <w:t>e éd. 2019 [ci-après : CR CPC], n. 2 ss ad art. 310) et vérifie si le premier juge pouvait admettre les faits qu’il a retenus (ATF 141 III 569 consid. 2.3.3 ; TF 4D_7/2020 du 5 août 2020 consid. 5 ; TF 4A_215/2017 du 15 janvier 2019 consid. 3.4). Sous réserve des vices manifestes, l’application du droit d’office ne signifie pas que l’autorité d’appel doive étendre son examen à des moyens qui n’ont pas été soulevés dans l’acte d’appel ou dans la réponse. Elle doit se limiter aux griefs motivés contenus dans les actes des parties et dirigés contre la décision de première instance ; l’acte d’appel et, le cas échéant, la réponse fixent en principe le cadre des griefs auxquels l’autorité d’appel doit répondre eu égard au principe d’application du droit d’office (cf. ATF 127 III 176 consid. 4.2.1 et 4.2.2 ; TF 5A_873/2021 du 4 mars 2022 applicable en appel).</w:t>
      </w:r>
    </w:p>
    <w:p>
      <w:r>
        <w:rPr>
          <w:b/>
        </w:rPr>
        <w:t>E. 3.1</w:t>
      </w:r>
    </w:p>
    <w:p>
      <w:r>
        <w:t>et réf. cit. ; TF 5A_692/2021 du 25 avril 2022 consid. 3.1 ; 5A_28/2021 du 31 mars 2022 consid. 3.4.2 ; 5A_109/2020 du 28 octobre 2020 consid. 3.1.1). Dans la mesure où l'interprétation du contrat de servitude foncière est en cause, les règles générales d'interprétation des contrats du droit des obligations s'appliquent en principe (ATF 139 III 404 consid. 7.1 ; TF 5A_28/2021 précité consid. 3.4.3). Dans les relations entre les parties contractantes initiales, c'est en premier lieu le but pour lequel la servitude a été constituée qui est déterminant. S'il n'est pas possible d'établir une réelle volonté des parties à ce sujet, le but doit être déterminé à partir du texte sur la base d'une interprétation objective en fonction des besoins du fonds dominant au moment de la constitution (TF 5A_692/2021 précité consid. 3.2 et réf. cit. ; 5A_346/2021 du 29 novembre 2021 consid. 2.1). Dans les rapports avec les tiers, le but déterminant est celui qui ressort du contrat de servitude lui-même ou qui est objectivement reconnaissable. Le motif d'acquisition doit être interprété comme il pouvait et devait être compris selon sa teneur et son contexte, ainsi que notamment sur la base des besoins du fonds dominant au moment de la constitution et compte tenu du sens et du but de la servitude (TF 5A_692/2021 précité consid. 3.2 ; 5A_134/2020 du 16 juillet 2020 consid. 3 et réf. cit.).</w:t>
      </w:r>
    </w:p>
    <w:p>
      <w:r>
        <w:rPr>
          <w:b/>
        </w:rPr>
        <w:t>E. 3.1.1</w:t>
      </w:r>
    </w:p>
    <w:p>
      <w:r>
        <w:t>Aux termes de l'art. 261 al. 1 CPC, le tribunal ordonne les mesures provisionnelles nécessaires lorsque le requérant rend vraisemblable qu'une prétention dont il est titulaire réalise les conditions suivantes : elle est l'objet d'une atteinte ou risque de l'être (let. a) et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(ATF 139 III 86 consid. 4.2 ; TF 5A_157/2020 du 7 août 2020 consid. 4.2 ; Juge unique CACI 18 août 2023/334).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CR CPC, n. 4 ad art. 261 CPC et réf. cit.). En matière de mesures provisionnelles, tant l'existence du droit matériel (soit sa substance et sa titularité), sa violation ou l'imminence de sa violation que le risque d'un préjudice difficilement réparable doivent être rendus vraisemblables par le requérant (Bohnet, CR CPC, n. 5 ad art. 261 CPC).</w:t>
      </w:r>
    </w:p>
    <w:p>
      <w:r>
        <w:rPr>
          <w:b/>
        </w:rPr>
        <w:t>E. 3.1.2</w:t>
      </w:r>
    </w:p>
    <w:p>
      <w:r>
        <w:t>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Il y a en particulier dommage lorsqu'il y a atteinte à l'exercice d'un droit absolu, notamment un droit de propriété (Hohl, Procédure civile, tome II, 2 e éd.,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l'urgence. Toute mesure provisionnelle implique, dans un certain sens, qu'il y ait urgence. Il faut donc qu'il y ait nécessité d'une protection immédiate en raison d'un danger imminent menaçant les droits du requérant (Hohl, op. cit.,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consid. 2.2 ; 4P.224/1990 du 28 novembre 1990, publié in SJ 1991 p. 113, consid. 4c ; cf. Hohl, op. cit., nn. 1757 à 1760 p. 322).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III 378 consid. 6.4 ; ATF 131 III 473 consid. 2.3, JdT 2005 I 305). Le requérant doit avant tout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(Bohnet, CR CPC, n. 8 ad art. 261 CPC). Plus une mesure provisionnelle atteint de manière incisive la partie intimée, plus il convient de fixer de hautes exigences pour faire reconnaître le bien-fondé de la demande quant à l'existence des faits pertinents et au fondement juridique de la prétention ;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CR CPC, nn. 14 ss ad art. 261 CPC ; Juge unique CACI 10 décembre 2012/569 consid. 3e; Juge unique CACI 26 février 2013/113 consid. 3a). Aux termes de l'art. 262 CPC, le tribunal peut ordonner toute mesure provisionnelle propre à prévenir ou à faire cesser le préjudice, notamment les mesures suivantes : interdiction (let. a), ordre de cessation d'un état de fait illicite (let. b), ordre donné à une autorité qui tient un registre ou à un tiers (let. c), fourniture d'une prestation en nature (let. d) ou versement d'une prestation en argent, lorsque la loi le prévoit (let. e).</w:t>
      </w:r>
    </w:p>
    <w:p>
      <w:r>
        <w:rPr>
          <w:b/>
        </w:rPr>
        <w:t>E. 3.1.3</w:t>
      </w:r>
    </w:p>
    <w:p>
      <w:r>
        <w:t>Selon l'art. 730 CC,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(al. 1). Une obligation de faire ne peut être rattachée qu'accessoirement à une servitude. Cette obligation ne lie l'acquéreur du fonds dominant ou du fonds servant que si elle résulte d'une inscription au registre foncier (al. 2). D'après l'art. 737 CC, celui à qui la servitude est due peut prendre toutes les mesures nécessaires pour la conserver et pour en user (al. 1). Il est tenu d'exercer son droit de la manière la moins dommageable possible (al. 2).</w:t>
      </w:r>
    </w:p>
    <w:p>
      <w:r>
        <w:rPr>
          <w:b/>
        </w:rPr>
        <w:t>E. 3.1.4</w:t>
      </w:r>
    </w:p>
    <w:p>
      <w:r>
        <w:t>L'art. 738 CC prévoit que l'inscription de la servitude au registre foncier fait règle, en tant qu'elle désigne clairement les droits et les obligations dérivant de celle-ci (al. 1) ; l'étendue de la servitude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 le juge doit dès lors se reporter en priorité à l'inscription au registre foncier, c'est-à-dire à l'inscription au feuillet du grand livre ; ce n'est que si celle-ci est peu claire, incomplète ou sommaire, que la servitude doit être interprétée selon son origine, à savoir l'acte constitutif déposé comme pièce justificative au registre foncier (art. 948 al. 2 CC) et qui fait partie intégrante du registre foncier (art. 942 al. 2 CC ; ATF 137 III 145 consid.</w:t>
      </w:r>
    </w:p>
    <w:p>
      <w:r>
        <w:rPr>
          <w:b/>
        </w:rPr>
        <w:t>E. 3.2</w:t>
      </w:r>
    </w:p>
    <w:p>
      <w:r>
        <w:t>L’appelant reproche à la juge déléguée d’avoir estimé que la violation de la servitude n’était pas rendue vraisemblable s’agissant du nombre de niveaux de la villa envisagée par les intimés. Il relève que la question de la conformité du projet au droit public ne serait pas déterminante pour l’interprétation de la servitude de droit privé inscrite au registre foncier. Se fondant tout de même sur l’interprétation faite par la CDAP de l’art. 52 aRPE, il estime qu’en définitive, lors de la constitution de la servitude, l’art. 45aRPE autorisait la construction de quatre étages mais qu’en s’obligeant mutuellement par la servitude en question, les propriétaires des fonds du périmètre de la servitude avaient décidé de limiter le nombre d’étages à un sous-sol, un rez, un premier et un comble. Or, le rez-de-jardin prévu dans le projet des intimés ne pourrait pas être qualifié de sous-sol au sens de la servitude parce qu’il serait dégagé par la pente, de sorte qu’il s’agirait d’un rez. De même, le dernier étage figurant sur le projet ne saurait constituer un comble. Aussi, le projet des intimés comprendrait en définitive trois étages hors-sol, soit un rez (libellé « rez-de-jardin »), un rez supérieur et un étage, si bien que le nombre limite de niveaux imposé par la servitude (soit un sous-sol, un rez, un premier et un comble) ne serait pas respecté. La juge déléguée s’est fondée sur l’interprétation de la municipalité, confirmée par la CDAP, consistant à tenir compte uniquement des étages apparents, soit les niveaux hors sol, dans le décompte du nombre de niveaux autorisés. L’appelant ne rendait pas vraisemblable que le raisonnement opéré par la CDAP s’agissant des niveaux de l’immeuble ne serait pas applicable à l’interprétation de la servitude, si bien que le nombre d’étages prévus par les intimés serait conforme à celle-ci. Le libellé de la servitude tel qu’il figure au registre foncier ne suffit pas à l’interpréter. Il convient donc, selon les règles rappelées ci-dessus, de se fonder sur l’acte constitutif du 13 avril 1945. La réelle volonté des contractants initiaux ne pouvant pas être établie, le but pour lequel la servitude a été constituée doit être déterminé d’après ce que les parties pouvaient et devaient de bonne foi comprendre. A l’époque de son inscription, la parcelle n° T.________ se trouvait en « zone périphérique », si bien que l’art. 45 aRPE déterminait les conditions à respecter s’agissant de la hauteur des façades et du nombre d’étages des nouvelles constructions, soit quatre étages habitables « y compris le rez-de-chaussée ». Néanmoins, le 12 mai 1959, l’adoption du PE 398 a fait passer la parcelle n° T.________ en « zone villas », si bien que c’est l’art. 52 aRPE – qui reste en vigueur par renvoi du PE 398 (consid C.2.c supra ) – qui détermine désormais le nombre d’étages à respecter pour les nouvelles constructions, soit « deux étages complets et un étage partiel de combles ou attique ». Aussi, la conformité du projet de construction des intimés a été appréciée par la CDAP sous l’angle de l’art. 52 aRPE et non en application de l’art. 45 aRPE. La CDAP a confirmé l’interprétation faite par la municipalité de l’art. 52 aRPE qui consiste à tenir compte, dans le calcul du nombre de niveaux, uniquement des étages apparents, soit les niveaux hors sol, et à considérer que la notion d’étage se référait à des niveaux habitables. Elle a également retenu que le rez-de-jardin envisagé par les intimés correspondait à la notion de « niveau inférieur dégagé par la pente du terrain » figurant à l’art. 52 aRPE. L’appelant n’explique pas pourquoi cette interprétation de l’art. 52 aRPE et du nombre d’étages du projet des intimés opérée par la CDAP serait erronée ou ne pourrait pas être reprise par le juge civil. Dans son appel, il se limite à citer une jurisprudence selon laquelle la question de la conformité d’un projet au droit public n’est pas déterminante pour l’interprétation d’une servitude de droit privé inscrite au registre foncier (TF 5A_340/2013 du 27 août 2023 consid. 3.4). Toutefois, dans cet arrêt, le Tribunal fédéral n’a absolument pas exclu la possibilité de s’inspirer de développements de droit public pour interpréter une servitude de droit privé mais a simplement relevé que, dans le cas d’espèce, ces développements n’étaient « pas déterminant[s] ». Aussi, comme relevé par la juge déléguée, l’appelant n’est pas parvenu à rendre vraisemblable que le raisonnement de la CDAP ne pouvait pas être appliqué à l’interprétation de la servitude. De plus, au regard des modalités prévues par l’art. 45 aRPE – soit la disposition qui était applicable à la parcelle n° T.________ à l’époque de l’acte constitutif – et en se fondant sur l’interprétation de la CDAP, la formulation de la servitude (« des villas ayant sous-sol, rez-de-chaussée, un étage et un comble ») laisse penser que le but de la servitude était vraisemblablement de garantir que les nouvelles constructions présentent au maximum quatre niveaux, dont un sous-sol et trois étages hors sol (y compris un comble), soit à empêcher la construction de bâtiments présentant quatre étages hors sol comme l’autorisait l’art. 45a RPE. Or, conformément au raisonnement de la CDAP auquel on peut là aussi se référer, la construction envisagée par les intimés comprend au total deux étages complets (soit le rez-d’entrée et l’étage) et un niveau inférieur (soit le rez-de-jardin), de sorte que l’appelant n’est pas parvenu à rendre vraisemblable que le projet violerait la limite de niveaux imposée par la servitude. Quand bien même l’appelant ne semble plus formuler de grief à cet égard en deuxième instance, on peut également confirmer l’appréciation de la juge déléguée selon laquelle l’appelant n’a pas non plus établi avec une vraisemblance suffisante que le projet dépasserait la hauteur maximale imposée par la servitude dans la mesure où les calculs du géomètre confirment que le faîte du toit de la villa envisagée se situe entre 522.09 msm et 522.26 msm, soit en dessous de 532.09 msm, respectivement 10 mètres. Le grief de l’appelant doit dès lors être rejeté.</w:t>
      </w:r>
    </w:p>
    <w:p>
      <w:r>
        <w:rPr>
          <w:b/>
        </w:rPr>
        <w:t>E. 4.1</w:t>
      </w:r>
    </w:p>
    <w:p>
      <w:r>
        <w:t>L’appelant estime que si les mesures provisionnelles ne sont pas accordées, les intimés pourraient débuter les travaux et ainsi porter atteinte à la servitude, si bien que la condition de l’urgence serait réalisée, la témoin V.________ ayant confirmé pour le surplus que le chantier commencerait sitôt les adjudications achevées. Selon lui, les intimés seraient par ailleurs tenus de commencer la construction dans le délai de deux ans, sous réserve de devoir prolonger le permis de construire. L’appelant considère enfin qu’on ne saurait lui reprocher d’avoir procédé tardivement dans la mesure où il a manifesté son intention de saisir les tribunaux par courrier du 16 février 2023.</w:t>
      </w:r>
    </w:p>
    <w:p>
      <w:r>
        <w:rPr>
          <w:b/>
        </w:rPr>
        <w:t>E. 4.2</w:t>
      </w:r>
    </w:p>
    <w:p>
      <w:r>
        <w:t>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4P.263/2004 du 1 er février 2005 consid. 2.2, RSPC 2005 p. 414 ; JdT 2014 III 129 ; Juge unique CACI 8 décembre 2023/492).</w:t>
      </w:r>
    </w:p>
    <w:p>
      <w:r>
        <w:rPr>
          <w:b/>
        </w:rPr>
        <w:t>E. 4.3</w:t>
      </w:r>
    </w:p>
    <w:p>
      <w:r>
        <w:t>La juge déléguée a relevé que les intimés n’avaient pas débuté les travaux durant les quatre mois qui avaient suivi l’entrée en force de l’arrêt de la CDAP et du permis de construire. Selon elle, il n’y avait pas lieu de penser qu’ils commenceraient sous peu puisque la témoin [...] avait rendu vraisemblable que le processus d’adjudication ne pouvait pas débuter tant qu’une décision au fond n’avait pas été rendue. La condition d’urgence n’était donc pas réalisée. En l’espèce, la municipalité a délivré le permis de construire aux intimés le 17 novembre 2021. L’appelant a recouru auprès de la CDAP contre cette décision. L’appelant n’ignorait pas que les juges de la CDAP ne pourraient pas se déterminer sur la violation de la servitude, lui-même soutenant en appel que la question de la conformité d’un projet de construction au droit public ne serait pas déterminante pour l’interprétation d’une servitude de droit privé. Il n’a toutefois pas introduit d’action civile pour violation de la servitude, ce qu’il aurait pu faire en parallèle, l’expertise privée du bureau d’ingénieurs n'étant pas un prérequis indispensable à l’introduction d’une procédure. Ce n’est que le 15 mai 2023 qu’il a déposé une requête de mesures provisionnelles devant la juge déléguée, son courrier aux intimés de février 2023 mentionnant son intention d’agir par toute voie utile n’étant pas déterminant dans la mesure où il ne peut pas être assimilé à la saisine d’une autorité judiciaire. Le fait que l’appelant a attendu aussi longtemps – soit plus de dix-sept mois après la délivrance du permis de construire – vide de sa vraisemblance la nécessité d’une protection d’urgence. Ce d’autant plus que l’appelant n’a, au jour de la rédaction de l’arrêt, toujours pas introduit d’action au fond. En outre, il est rendu vraisemblable, la témoin V.________ l’ayant confirmé, que les intimés devront attendre l’issue de la présente cause, voire de la procédure au fond, avant de procéder aux adjudications et d’envisager donc d’aller de l’avant dans leur projet puisque les entreprises adjudicataires risquent d’adapter leurs tarifs à la hausse en cas de report de leur intervention (cf. consid. C.5.b supra ). Le fait que les intimés devront éventuellement prolonger la durée de validité du permis de construire (puisque celui-ci risque d’échoir avant la fin de l’éventuelle procédure au fond) ne permet pas de renverser cette appréciation. Aucune éventuelle atteinte imminente à la servitude n’est donc rendue vraisemblable.</w:t>
      </w:r>
    </w:p>
    <w:p>
      <w:r>
        <w:rPr>
          <w:b/>
        </w:rPr>
        <w:t>E. 5</w:t>
      </w:r>
    </w:p>
    <w:p>
      <w:r>
        <w:t>L’appelant soutient que la construction érigée en violation de la servitude serait de nature à lui causer un préjudice difficilement réparable (cf. consid. 3.1.2 supra ). Il allègue qu’il ne pourrait pas obtenir la démolition de la construction dans la mesure où les intimés pourraient faire valoir une disproportion flagrante des intérêts en présence et ainsi s’y opposer. La juge déléguée a estimé que l’appelant n’avait pas rendu vraisemblable qu’une fois l’éventuelle construction érigée, il ne pourrait pas la faire détruire s’il était constaté au fond que celle-ci violait la servitude, ni que l’écoulement du temps pendant le procès au fond lui causerait un préjudice difficilement réparable. Il paraît vraisemblable qu’une construction qui serait érigée en violation d’une servitude est de nature à causer un préjudice difficilement réparable au propriétaire du fonds dominant, même dans l’éventualité où ladite construction pourrait en définitive être détruite (Jeandin, Mesures provisionnelles en matière civile in Les mesures provisionnelles en procédures civile et pénale et administrative, 2015, n. 16). Néanmoins, cette question peut demeurer ouverte dans la mesure où il n’a pas été rendu vraisemblable que le projet des intimés violerait les obligations imposées par la servitude (cf. consid. 3.2 supra ) et que, dans tous les cas, les autres conditions permettant à l’appelant d’obtenir le prononcé de mesures provisionnelles, en particulier la vraisemblance de l’urgence, ne sont pas réalisées.</w:t>
      </w:r>
    </w:p>
    <w:p>
      <w:r>
        <w:rPr>
          <w:b/>
        </w:rPr>
        <w:t>E. 6.1</w:t>
      </w:r>
    </w:p>
    <w:p>
      <w:r>
        <w:t>En définitive, faute de réaliser les conditions de l’art. 261 al. 1 CPC, l’appel doit être rejeté et l’ordonnance entreprise confirmée. La requête de mesures provisionnelles ayant été rejetée, il n’y a pas lieu de fixer un délai à l’appelant pour déposer une action au fond.</w:t>
      </w:r>
    </w:p>
    <w:p>
      <w:r>
        <w:rPr>
          <w:b/>
        </w:rPr>
        <w:t>E. 6.2</w:t>
      </w:r>
    </w:p>
    <w:p>
      <w:r>
        <w:t>Les frais judiciaires de deuxième instance, arrêtés à 800 fr. (art. 65 al. 1 TFJC [tarif des frais judiciaires civils du 28 septembre 2010 ; BLV 270.11.5]) doivent être mis à la charge de l’appelant, qui succombe (art. 106 al. 1 CPC). L’appelant versera par ailleurs la somme de 3'000 fr. à titre de dépens de deuxième instance aux intimés (art. 7 al. 1 TDC [tarif des dépens en matière civile du 23 novembre 2010 ; BLV 270.11.6]), solidairement entre eux. Par ces motifs, la Juge unique de la Cour d’appel civile prononce : I. L’appel est rejeté. II. L’ordonnance est confirmée. III. Les frais judiciaires de deuxième instance, arrêtés à 800 fr. (huit cents francs), sont mis à la charge de l’appelant J.________. IV. L’appelant J.________ doit verser aux intimés A.L.________ et B.L.________, solidairement entre eux, la somme de 3'000 fr. (trois mille francs) à titre de dépens de deuxième instance. V. L’arrêt est exécutoire. La juge unique :               Le greffier : Du Le présent arrêt, dont la rédaction a été approuvée à huis clos, est notifié en expédition complète à : ‑ Me Christophe Claude Maillard (pour J.________), ‑ Me Christian Marquis (pour A.L.________ et B.L.________), et communiqué, par l'envoi de photocopies, à : ‑ Mme la Juge déléguée de la Chambre patrimoniale cantonale.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