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 vom 11. Januar 2024</w:t>
      </w:r>
    </w:p>
    <w:p>
      <w:r>
        <w:t>VD Tribunal cantonal, 2024-01-11, FR</w:t>
      </w:r>
    </w:p>
    <w:p>
      <w:r>
        <w:rPr>
          <w:b/>
        </w:rPr>
        <w:t xml:space="preserve">Quelle: </w:t>
      </w:r>
      <w:r>
        <w:t>https://mcp.opencaselaw.ch/entscheid/vd_findinfo_HC___2024___22</w:t>
      </w:r>
    </w:p>
    <w:p>
      <w:r>
        <w:t>FR: VD_FINDINFO HC / 2024 / 22 du 11 janvier 2024</w:t>
      </w:r>
    </w:p>
    <w:p>
      <w:r>
        <w:t>IT: VD_FINDINFO HC / 2024 / 22 del 11 gennaio 2024</w:t>
      </w:r>
    </w:p>
    <w:p>
      <w:pPr>
        <w:pStyle w:val="Heading2"/>
      </w:pPr>
      <w:r>
        <w:t>Regeste</w:t>
      </w:r>
    </w:p>
    <w:p>
      <w:r>
        <w:t>CONCLUSIONS, DÉCISION D'IRRECEVABILITÉ, MOTIVATION DE LA DEMANDE | 311 al. 1 CPC, 312 CPC</w:t>
      </w:r>
    </w:p>
    <w:p>
      <w:pPr>
        <w:pStyle w:val="Heading2"/>
      </w:pPr>
      <w:r>
        <w:t>Volltext</w:t>
      </w:r>
    </w:p>
    <w:p>
      <w:r>
        <w:t>Vaud Tribunal cantonal Cour d'appel civile HC / 2024 / 22</w:t>
      </w:r>
    </w:p>
    <w:p>
      <w:r>
        <w:t>CONCLUSIONS, DÉCISION D'IRRECEVABILITÉ, MOTIVATION DE LA DEMANDE | 311 al. 1 CPC, 312 CPC</w:t>
      </w:r>
    </w:p>
    <w:p>
      <w:r>
        <w:t>TRIBUNAL CANTONAL JS23.025813-231549-HFO 12 cour d’appel CIVILE ____________________________ Arrêt du 11 janvier 2024 __________________ Composition :               M. de Montvallon , juge unique Greffière :              Mme Morand ***** Art. 311 al. 1 et 312 al. 1 CPC Statuant sur l’appel interjeté par C.D.________ , à [...], intimé, contre l’ordonnance de mesures protectrices l’union conjugale rendue le 2 novembre 2023 par le Président du Tribunal civil de l’arrondissement de l’Est vaudois dans la cause divisant l’appelant d’avec B.D.________ , à [...], requérante, le Juge unique de la Cour d’appel civile du Tribunal cantonal considère : En fait et en droit : 1. C.D.________ et B.D.________, tous deux de nationalité suisse, se sont mariés le [...] 1994 à Vevey. Deux enfants sont issus de cette union : [...] et [...], nés le [...] 1997, aujourd’hui majeurs. 2. Par ordonnance de mesures protectrices de l’union conjugale du 2 novembre 2023, le Président du Tribunal civil de l’arrondissement de l’Est vaudois (ci-après : le président) a admis partiellement la requête de mesures protectrices de l’union conjugale déposée le 23 juin 2023 par B.D.________ à l’encontre de C.D.________ (I), a rappelé la convention partielle signée à l’audience du 10 août 2023 par les parties et ratifiée séance tenante pour valoir ordonnance partielle de mesures provisionnelles, par laquelle elles sont convenues de la date de leur séparation effective et de l’attribution du logement conjugal (II), a dit que C.D.________ contribuerait à l’entretien de son épouse, B.D.________, par le régulier versement en ses mains, d’avance le premier jour de chaque mois, d’un montant de 1’580 fr. dès le mois d’avril 2023, sous déduction des montants déjà versés par celui-ci (III), a fixé l’indemnité du conseil d’office de B.D.________, allouée à Me Annik Nicod, à 1’159 fr. 50, pour l’ensemble de ses activités, débours et vacations inclus, et l’a relevée de son mandat (IV), a dit que B.D.________, bénéficiaire de l’assistance judiciaire, était, dans la mesure de l’art. 123 CPC, tenue de rembourser l’indemnité due à son conseil d’office, laissée provisoirement à la charge de l’Etat, dès qu’elle serait en mesure de le faire (V), a dit que l’ordonnance était rendue sans frais (VI), a dit que C.D.________ devait immédiat paiement à Me Annik Nicod  d’un montant de 1’500 fr. à titre de dépens (VII), a rappelé à Me Annik Nicod que le montant réellement perçu à titre de dépens devra être porté en déduction de son indemnité de conseil d’office (VIII) et a rejeté toutes autres ou plus amples conclusions (IX). 3. Par courrier du 15 novembre 2023 adressé au président, C.D.________ (ci-après : l’appelant) a indiqué déposer « recours » contre l’ordonnance susmentionnée, tout en produisant un lot de pièces relatives à sa situation financière, et a requis de l’autorité de « faire le nécessaire ». 4. 4.1 4.1.1 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 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Des conclusions non chiffrées suffisent exceptionnellement lorsque la somme à allouer est d’emblée reconnaissable au regard de la motivation du recours ou de la décision attaquée, voire du rapprochement des deux actes (ATF 134 III 235 précité consid. 2 et les réf. citées ; TF 5A_766/2008 du 4 février 2009 consid. 2.2, publié in FamPra.ch 2009 p. 422). 4.1.2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 TF 5A_396/2013 du 26 février 2014 consid. 5.3.1 ; Colombini, op. cit ., n. 8.2.1 ad art. 311 CPC et les réf. citées).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5A_577/2020 du 16 décembre 2020 consid. 5 ; TF 5A_356/2020 précité consid. 3.2 ; TF 4A_396/2019 du 16 janvier 2020 consid. 3.3.1 ; Colombini, ibidem ).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 TF 5A_488/2015 du 21 août 2015 consid. 3.2.2 ; TF 4A_659/2011 précité consid. 5, RSPC 2012 p. 128 ; Colombini, op. cit ., n. 8.7.1 ad art. 311 CPC et les réf. citées). Il en va de même de l’art. 56 CPC, qui concerne les allégations de fait et n’est donc pas applicable en cas d’absence de motivation d’un acte de recours (TF 5A_483/2018 du 23 octobre 2018 consid. 3.2 ; Colombini, ibidem ). Il en résulte qu’à défaut de motivation suffisante, l’appel est d’emblée irrecevable, sans qu’il y ait lieu à interpellation de la partie (TF 5A_209/2014 du 2 septembre 2014 consid. 4.2.1 ; TF 4A_97/2014 précité consid. 3.3 ; TF 4A_651/2012 du 7 février 2013 consid. 4.2 ; cf. déjà JdT 2011 III 184). Il n’y a en particulier pas lieu, dans un tel cas, de statuer sur la base du dossier (TF 5A_438/2012 précité consid. 2.4, RSPC 2013 p. 29 ; Colombini, op. cit ., n. 8.7.3 ad art. 311 CPC). 4.2 Le présent appel ne comporte ni conclusions chiffrées ni motivation respectant les conditions de la jurisprudence précitée. L’appelant se contente de produire des pièces en lien avec sa situation financière. On peut ainsi comprendre qu’il ne s’estime pas en mesure d’assumer la contribution d’entretien fixée par la décision de première instance. Il ne précise cependant pas le montant auquel il voudrait voir réduite cette pension et la lecture de l’appel ne permet pas de le déterminer. Pour le surplus, il n’est pas possible d’accorder à l’appelant un délai supplémentaire pour compléter sa motivation et ses conclusions déficientes, le vice étant irrémédiable. Partant, faute de conclusions et de motivation suffisante, ce qui constitue un vice irréparable, il ne peut être entré en matière sur l’appel. 5. Compte tenu de ce qui précède, l’appel doit être déclaré irrecevable, selon le mode procédural de l’art. 312 al. 1 in fine CPC. Il ne sera pas perçu de frais judiciaires de deuxième instance (art. 11 TFJC [tarif des frais judiciaires civils du 28 septembre 2010 ; BLV 270.11.5]). Il n’y a pas lieu à allocation de dépens, l’intimée n’ayant pas été invitée à se déterminer. Par ces motifs, le Juge unique de la Cour d’appel civile prononce : I. L’appel est irrecevable. II. L’arrêt, rendu sans frais de deuxième instance, est exécutoire. Le juge unique :               La greffière : Du Le présent arrêt, dont la rédaction a été approuvée à huis clos, est notifié à : ‑ M. C.D.________, personnellement, ‑ Me Annik Nicod, avocate (pour B.D.________),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