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189 vom 26. März 2024</w:t>
      </w:r>
    </w:p>
    <w:p>
      <w:r>
        <w:t>VD Tribunal cantonal, 2024-03-26, FR</w:t>
      </w:r>
    </w:p>
    <w:p>
      <w:r>
        <w:rPr>
          <w:b/>
        </w:rPr>
        <w:t xml:space="preserve">Quelle: </w:t>
      </w:r>
      <w:r>
        <w:t>https://mcp.opencaselaw.ch/entscheid/vd_findinfo_HC___2024___189</w:t>
      </w:r>
    </w:p>
    <w:p>
      <w:r>
        <w:t>FR: VD_FINDINFO HC / 2024 / 189 du 26 mars 2024</w:t>
      </w:r>
    </w:p>
    <w:p>
      <w:r>
        <w:t>IT: VD_FINDINFO HC / 2024 / 189 del 26 marzo 2024</w:t>
      </w:r>
    </w:p>
    <w:p>
      <w:pPr>
        <w:pStyle w:val="Heading2"/>
      </w:pPr>
      <w:r>
        <w:t>Regeste</w:t>
      </w:r>
    </w:p>
    <w:p>
      <w:r>
        <w:t>FRAIS JUDICIAIRES, DÉPENS, TRIBUNAL FÉDÉRAL, DÉCISION DE RENVOI | 106 CPC</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 er juin 2023 consid. 2.1 et les réf. citées).</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w:t>
      </w:r>
    </w:p>
    <w:p>
      <w:r>
        <w:rPr>
          <w:b/>
        </w:rPr>
        <w:t>E. 2.1</w:t>
      </w:r>
    </w:p>
    <w:p>
      <w:r>
        <w:t>Le Tribunal fédéral a renvoyé la cause à la Cour de céans pour qu’elle statue sur les frais et dépens de la procédure cantonale.</w:t>
      </w:r>
    </w:p>
    <w:p>
      <w:r>
        <w:rPr>
          <w:b/>
        </w:rPr>
        <w:t>E. 2.2</w:t>
      </w:r>
    </w:p>
    <w:p>
      <w:r>
        <w:t>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 5 juillet 2019 consid. 5.1.1). En règle générale, la partie succombante (art. 106 al. 1 CPC) doit verser à la partie victorieuse tous les frais nécessaires causés par le litige (art. 37 al. 2 CDPJ [Code de droit privé judiciaire vaudois du 12 janvier 2010 ; BLV 211.02]).</w:t>
      </w:r>
    </w:p>
    <w:p>
      <w:r>
        <w:rPr>
          <w:b/>
        </w:rPr>
        <w:t>E. 2.3</w:t>
      </w:r>
    </w:p>
    <w:p>
      <w:r>
        <w:t>En l’espèce, le jugement d’une cause renvoyée ensuite d’un arrêt du Tribunal fédéral ne donne pas lieu à perception d’un nouvel émolument forfaitaire de décision (art. 5 TFJC [tarif des frais judiciaires civils du 28 septembre 2010 ; BLV 270.11.5]). Partant, les frais judiciaires de deuxième instance à répartir s’élèvent à 600 fr., tels qu’arrêtés dans l’arrêt cantonal du 27 janvier 2022, ce montant n’étant pas contesté par les parties. Dans l’arrêt précité, ces frais ont été répartis par moitié entre les ex-époux compte tenu de leurs conclusions respectives et du résultat de l’appel. Cette répartition peut être confirmée. Dans l’ensemble du litige des parties, qui concernait uniquement la contribution d’entretien de l’appelante, les modifications somme toute marginales apportées par le Tribunal fédéral aux pensions arrêtées en deuxième instance ne justifie pas de revenir sur la répartition des frais qui a été décidée le 27 janvier 2022. En effet, le principe de l’appel a été confirmé par le Tribunal fédéral et les contributions d’entretien n’ont été que légèrement diminuées. Partant, les frais judiciaires de deuxième instance seront répartis par moitié entre les parties. Concernant les dépens, ni l’appelante ni l’intimé ne requièrent une répartition différente dans leurs déterminations du 12 janvier 2024. Par conséquent, et compte tenu de la répartition qui précède s’agissant des frais judiciaires, les dépens seront compensés. Il est précisé qu’il n’y a pas lieu de revenir sur les frais judiciaires et dépens de première instance, qui ont été confirmés par la Cour de céans et dont la répartition, par moitié entre les parties, n’est pas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