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108 vom 28. Dezember 2023</w:t>
      </w:r>
    </w:p>
    <w:p>
      <w:r>
        <w:t>VD Tribunal cantonal, 2023-12-28, FR</w:t>
      </w:r>
    </w:p>
    <w:p>
      <w:r>
        <w:rPr>
          <w:b/>
        </w:rPr>
        <w:t xml:space="preserve">Quelle: </w:t>
      </w:r>
      <w:r>
        <w:t>https://mcp.opencaselaw.ch/entscheid/vd_findinfo_HC___2024___108</w:t>
      </w:r>
    </w:p>
    <w:p>
      <w:r>
        <w:t>FR: VD_FINDINFO HC / 2024 / 108 du 28 décembre 2023</w:t>
      </w:r>
    </w:p>
    <w:p>
      <w:r>
        <w:t>IT: VD_FINDINFO HC / 2024 / 108 del 28 dicembre 2023</w:t>
      </w:r>
    </w:p>
    <w:p>
      <w:pPr>
        <w:pStyle w:val="Heading2"/>
      </w:pPr>
      <w:r>
        <w:t>Regeste</w:t>
      </w:r>
    </w:p>
    <w:p>
      <w:r>
        <w:t>NOUVEAU MOYEN DE PREUVE, EXPERTISE, SUREXPERTISE | 319 let. b ch. 2 CPC (CH)</w:t>
      </w:r>
    </w:p>
    <w:p>
      <w:pPr>
        <w:pStyle w:val="Heading2"/>
      </w:pPr>
      <w:r>
        <w:t>Erwägungen</w:t>
      </w:r>
    </w:p>
    <w:p>
      <w:r>
        <w:rPr>
          <w:b/>
        </w:rPr>
        <w:t>E. 1.1</w:t>
      </w:r>
    </w:p>
    <w:p>
      <w:r>
        <w:t>Aux termes de l’art. 319 let. b CPC (Code de procédure civile du 19 décembre 2008 ; RS 272), la voie du recours est ouverte contre les ordonnances d’instruction de première instance, dont font partie les décisions statuant en matière d’offre de preuve par expertise (cf. TF 4A_155/2021 du 30 septembre 2021 consid. 4.5, non publié in ATF 147 III 582). Tel est également le cas, en matière de preuve à futur, de la décision ultérieure à l’admission de la requête ne mettant pas un terme à l’instance, rendue au cours d’une procédure indépendante de preuve à futur (cf. TF 4A_248/2014 du 27 juin 2014 consid. 1.3, in RSPC 2014 p. 461 : refus de deuxième expertise ; CACI 10 novembre 2023/460 consid. 4.1.2.1 et l’autre référence citée). Le recours, écrit et motivé, doit être introduit dans un délai de dix jours (art. 321 al. 2 CPC) auprès de l'instance de recours, soit la Chambre des recours civile (art. 73 LOJV [loi d’organisation judiciaire du 12 décembre 1979 ; BLV 173.01]). En l’espèce, le recours a été déposé en temps utile (cf. art. 145 al. 1 let. b et 146 al. 1 CPC) par une partie au bénéfice d’un intérêt digne de protection (art. 59 al. 2 let. a CPC).</w:t>
      </w:r>
    </w:p>
    <w:p>
      <w:r>
        <w:rPr>
          <w:b/>
        </w:rPr>
        <w:t>E. 1.2.1</w:t>
      </w:r>
    </w:p>
    <w:p>
      <w:r>
        <w:t>Le recours contre le refus d’ordonner un complément d’expertise n’étant pas prévu par la loi, sa recevabilité est conditionnée à l’existence d’un risque de préjudice difficilement réparable pour le recourant (art. 319 let. b ch. 2 CPC).</w:t>
      </w:r>
    </w:p>
    <w:p>
      <w:r>
        <w:rPr>
          <w:b/>
        </w:rPr>
        <w:t>E. 1.2.2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soit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7 octobre 2020/250 consid. 6.1 ; CREC 11 février 2016/50). La question de savoir s’il existe un préjudice difficilement réparable s’apprécie par rapport aux effets de la décision incidente sur la cause principale, respectivement la procédure principale (ATF 137 III 380 consid. 1.2.2 ; TF 4A_554/2019 du 21 novembre 2019 consid. 1.1.1). Il en va notamment ainsi de la décision refusant d’ordonner une contre-expertise à la suite de l’expertise hors-procès déposée (TF 4A_248/2014 du 27 juin 2014 consid. 1.3 ; CREC 26 août 2015/311 ; CREC 11 juillet 2014/237 ; CREC 18 février 2014/67), ou encore de la décision refusant d’interpeller l’expert à la suite d’un complément d’expertise (CACI 26 septembre 2014/510).</w:t>
      </w:r>
    </w:p>
    <w:p>
      <w:r>
        <w:rPr>
          <w:b/>
        </w:rPr>
        <w:t>E. 1.2.3</w:t>
      </w:r>
    </w:p>
    <w:p>
      <w:r>
        <w:t>En l’espèce, la recourante fait valoir que la procédure de preuve à futur doit être complète, dès lors qu’il n’appartiendrait pas au juge du fond d’ordonner un complément d’expertise ou une nouvelle expertise dans le cadre du procès principal. Si le refus d’administrer une preuve n’est, en principe, pas susceptible de causer un préjudice difficilement réparable au recourant, il convient de tenir compte du fait que la décision attaquée a été rendue dans le cadre d’une procédure de preuve à futur avant procès. Cette circonstance justifie d’admettre, à supposer que l’expert ne se soit pas prononcé sur des points importants devant être tranchés comme le soutient la recourante, que celle-ci subirait un préjudice difficilement réparable, concrétisé dans la procédure au fond par l’obligation pour l’intéressée de renouveler l’offre de preuve par expertise, alors même que la procédure de preuve à futur introduite l’a été afin d’éviter une telle issue. Partant, la recevabilité du recours doit être admise.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consid. 4.2.1 et 4.2.2 ; TF 5A_873/2021 du 4 mars 2022 consid 4.2 applicable en appel).</w:t>
      </w:r>
    </w:p>
    <w:p>
      <w:r>
        <w:rPr>
          <w:b/>
        </w:rPr>
        <w:t>E. 2.2</w:t>
      </w:r>
    </w:p>
    <w:p>
      <w:r>
        <w:t>Les pièces n os 1 et 3 produites par les intimés, soit une requête de mesures superprovisionnelles et provisionnelles en inscription d’une hypothèque légale des artisans et entrepreneurs et une convention conclue par les parties, sont irrecevables faute de figurer au dossier de première instance (art. 326 al. 1 CPC). Les autres pièces jointes à la réponse, singulièrement la note d’honoraires produite (cf. art. 105 al. 2 in fine CPC), sont recevables.</w:t>
      </w:r>
    </w:p>
    <w:p>
      <w:r>
        <w:rPr>
          <w:b/>
        </w:rPr>
        <w:t>E. 3.1</w:t>
      </w:r>
    </w:p>
    <w:p>
      <w:r>
        <w:t>De l’avis de la recourante, un complément d’expertise serait justifié par le caractère imprécis du rapport principal, s’agissant en particulier de la façon dont il a estimé à 3'000 fr. la moins-value liée aux travaux de peinture que les intimés ont été contraints d’effectuer eux-mêmes. La recourante considère en outre que le rapport serait incomplet, faisant valoir que l’expert aurait arrêté le coût des travaux qu’elle avait réalisés sans prendre en considération le décompte final provisoire du 15 septembre 2020, pourtant annexé au rapport (annexe n° 5), dont il ressortirait que ledit coût s’élève à 166'000 fr., correspondant à 821 heures de travail en régie ; la recourante soutient que l’expert n’aurait pas tenu compte des particularités du dossier, résidant dans le fait que les travaux litigieux, lesquels avaient initialement fait l’objet d’un devis, auraient finalement été facturés par le biais de factures d’heures en régie. Il y aurait ainsi lieu que l’expert se détermine sur le décompte précité.</w:t>
      </w:r>
    </w:p>
    <w:p>
      <w:r>
        <w:rPr>
          <w:b/>
        </w:rPr>
        <w:t>E. 3.2</w:t>
      </w:r>
    </w:p>
    <w:p>
      <w:r>
        <w:t>En vertu de l’art. 187 al. 4 CPC, le tribunal donne aux parties l’occasion de demander des explications relativement au rapport d’expertise ou de poser des questions complémentaires à l’expert. Il y a lieu à explication de l’expertise lorsque celle-ci est peu claire, contradictoire voire incompréhensible, ou encore qu’elle nécessite des développements complémentaires ou des précisions. Il y a lieu à complément lorsque l’expertise est non seulement peu claire, mais encore lacunaire ou s’il en découle de nouvelles questions, non encore élucidées. Dans tous les cas, les parties n’ont aucun droit à ce qu’il soit donné suite à n’importe quelle demande d’explication ou de complément ; c’est au tribunal de décider d’ordonner un complément ou une explication de l’expertise, en faisant usage de son pouvoir d’appréciation (TF 4A_517/2017 du 2 octobre 2018 consid. 4.2). Le juge ne viole ni le droit d’être entendu ni le droit à la preuve des parties en refusant d’ordonner un complément d’expertise au motif qu’il s’est fait une conviction, sur la base des preuves déjà administrées et que, par appréciation anticipée de celles-ci, il peut admettre que sa conviction ne serait pas modifiée par d’autres moyens de preuve (TF 5A_629/2015 du 27 mars 2017 consid. 4.3).</w:t>
      </w:r>
    </w:p>
    <w:p>
      <w:r>
        <w:rPr>
          <w:b/>
        </w:rPr>
        <w:t>E. 3.3</w:t>
      </w:r>
    </w:p>
    <w:p>
      <w:r>
        <w:t>S’agissant des travaux de peinture litigieux, estimés à 3'000 fr. par l’expert, il faut admettre avec la juge de paix que ladite estimation, effectuée sur la base de photos produites par les intimés comme cela ressort du rapport, est suffisante et acceptable. Il appartient en effet à l’expert d’estimer la valeur de certains postes peu importants, sans devoir systématiquement la justifier par des calculs, à défaut de quoi les frais d’expertise, déjà élevés, seraient hors de proportion. En ce qui concerne les travaux en régie, l’expert les a écartés sur la base d’un raisonnement qui ne nécessite aucune clarification, dès lors qu’il ne s’agit en réalité pas d’éléments techniques, mais d’une question de droit ressortissant exclusivement au juge (ATF 130 I 337 consid. 5.4.1 ; TF 4A_230/2013 du 17 septembre 2013 consid. 3). L’expert a considéré que ces travaux en régie ne faisaient pas partie du devis préalable du 20 avril 2020 et que faute d’accord ou de rapports journaliers sur les travaux en question, ceux-ci ne pouvaient pas être facturés par la recourante, ce raisonnement ne liant aucunement l’autorité qui sera appelée à statuer au fond. Si, comme la recourante l’invoque dans son recours, celle-ci ne partage pas l’analyse de l’expert, il lui incombera de faire valoir ses arguments devant le juge du fond, soit en faisant valoir des moyens de preuve démontrant par exemple l’existence d’un accord ou de rapports régulièrement fournis aux intimés, soit en démontrant que les travaux en question doivent être payés quoi qu’il en soit. L’interpellation de l’expert sur cette question ne se justifiant ainsi pas, faute pour l’intéressé de pouvoir apporter des éléments supplémentaires en sa qualité d’architecte, le moyen se révèle infondé. S’ensuit le rejet des griefs et avec eux du recours.</w:t>
      </w:r>
    </w:p>
    <w:p>
      <w:r>
        <w:rPr>
          <w:b/>
        </w:rPr>
        <w:t>E. 4</w:t>
      </w:r>
    </w:p>
    <w:p>
      <w:r>
        <w:t>Au vu de ce qui précède, le recours doit être rejeté. Vu le sort réservé au recours, les frais judiciaires de deuxième instance, arrêtés à 400 fr. (art. 69 al. 1 et 70 al. 2, spéc. 2 e phr., TFJC), seront mis à la charge de la recourante, qui succombe (art. 106 al. 1 CPC). Celle-ci versera aux intimés, créanciers solidaires, la somme de 900 fr. (art. 8 TDC [tarif des dépens en matière civile du 23 novembre 2010 ; BLV 270.11.6]) à titre de dépens de deuxième instance. Par ces motifs, la Chambre des recours civile du Tribunal cantonal, prononce : I. Le recours est rejeté. II. La décision est confirmée. III. Les frais judiciaires de deuxième instance, arrêtés à 400 fr. (quatre cents francs), sont mis à la charge de la recourante U.________. IV. La recourante U.________ versera aux intimés H.________ et W.________, créanciers solidaires, la somme de 900 fr. (neuf cents francs) à titre de dépens de deuxième instance. V. L’arrêt est exécutoire. La présidente : La greffière : Du L’arrêt qui précède, dont la rédaction a été approuvée à huis clos, est notifié à : ‑ M. Christophe Savoy, aab (pour U.________), ‑ Me Simon Demierre (pour H.________ et W.________).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