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102 vom 19. Februar 2024</w:t>
      </w:r>
    </w:p>
    <w:p>
      <w:r>
        <w:t>VD Tribunal cantonal, 2024-02-19, FR</w:t>
      </w:r>
    </w:p>
    <w:p>
      <w:r>
        <w:rPr>
          <w:b/>
        </w:rPr>
        <w:t xml:space="preserve">Quelle: </w:t>
      </w:r>
      <w:r>
        <w:t>https://mcp.opencaselaw.ch/entscheid/vd_findinfo_HC___2024___102</w:t>
      </w:r>
    </w:p>
    <w:p>
      <w:r>
        <w:t>FR: VD_FINDINFO HC / 2024 / 102 du 19 février 2024</w:t>
      </w:r>
    </w:p>
    <w:p>
      <w:r>
        <w:t>IT: VD_FINDINFO HC / 2024 / 102 del 19 febbraio 2024</w:t>
      </w:r>
    </w:p>
    <w:p>
      <w:pPr>
        <w:pStyle w:val="Heading2"/>
      </w:pPr>
      <w:r>
        <w:t>Regeste</w:t>
      </w:r>
    </w:p>
    <w:p>
      <w:r>
        <w:t>DEMEURE DU DÉBITEUR, EXPULSION DE LOCATAIRE, MOTIVATION DE LA DEMANDE, REJET DE LA DEMANDE, CAS CLAIR, BAIL À LOYER | 257d CO, 257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auprès de l’instance d’appel (art. 311 al. 1 CPC), soit la Cour d’appel civile (art. 84 al. 1 LOJV [Loi vaudoise du 12 décembre 1979 d’organisation judiciaire ; BLV 173.01]).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4A_495/2023 du 5 décembre 2023 consid. 1.2).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 a al. 1 let. e CO (loi fédérale du 30 mars 1911 complétant le Code civil suisse ; RS 220), la valeur correspondra en principe au montant du loyer pendant trois ans (ATF 144 III 346 précité consid. 1.2.1 ; TF 4A_495/2023 précité consid. 1.2). Lorsque la décision entreprise a été rendue en procédure sommaire, comme en procédure en cas clairs (art. 248 let. b CPC), le délai pour l’introduction de l’appel et le dépôt de la réponse est de dix jours (art. 314 al. 1 CPC).</w:t>
      </w:r>
    </w:p>
    <w:p>
      <w:r>
        <w:rPr>
          <w:b/>
        </w:rPr>
        <w:t>E. 1.2</w:t>
      </w:r>
    </w:p>
    <w:p>
      <w:r>
        <w:t>En l’espèce, l’appelant soutient non seulement que le cas n’est pas clair mais conteste également la résiliation du bail qu’il considère comme nulle. Compte tenu d’un loyer mensuel de 4'300 fr., la valeur litigieuse, correspondant à l’équivalent de trois ans de loyers selon les principes énoncés ci-dessus, est clairement supérieure à 10'000 fr., si bien que la voie de l’appel est ouverte. Pour le surplus, interjeté en temps utile contre une décision finale de première instance par une partie qui a un intérêt digne de protection (art. 59 al. 2 let. a CPC), l’appel, écrit et en partie motivé (pp. 6 à 9),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 CACI 23 août 2022/428 consid. 3).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20 novembre 2023/467 consid. 3.2 ; CACI 13 octobre 2022/523 consid. 2.2.1 ; CACI 3 décembre 2021/570 consid. 4.2.1).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 TF 5A_779/2021 et 5A_787/2021 du 16 décembre 2022 consid. 4.3.1).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 TF 4A_168/2022 du 10 juin 2022 consid. 5.2).</w:t>
      </w:r>
    </w:p>
    <w:p>
      <w:r>
        <w:rPr>
          <w:b/>
        </w:rPr>
        <w:t>E. 2.2.4</w:t>
      </w:r>
    </w:p>
    <w:p>
      <w:r>
        <w:t>in fine ; ATF 141 III 262 précité consid. 3.2 in fine ; TF 4A_195/2023 précité consid. 3.2.3 ; TF 4A_574/2022 du 23 mai 2023 consid. 3.3).</w:t>
      </w:r>
    </w:p>
    <w:p>
      <w:r>
        <w:rPr>
          <w:b/>
        </w:rPr>
        <w:t>E. 3.1</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précité consid. 4.3.1 ; TF 5A_524/2023 du 14 décembre 2023 ; TF 4A_462/2022 du 6 mars 2023 consid. 5.1.1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9 novembre 2023/457 consid. 2.3 ; CACI 7 novembre 2022/549 consid.</w:t>
      </w:r>
    </w:p>
    <w:p>
      <w:r>
        <w:rPr>
          <w:b/>
        </w:rPr>
        <w:t>E. 3.2</w:t>
      </w:r>
    </w:p>
    <w:p>
      <w:r>
        <w:t>; TF 4A_422/2020 précité consid. 4.2). Lorsque le locataire entend payer ses loyers par compensation avec une créance en restitution de l’indu, il doit donc le déclarer au plus tard dans le délai de sommation qui lui est accordé par le bailleur (TF 4A_115/2019 du 17 avril 2019 consid. 9). Selon la jurisprudence, la contre-créance invoquée en compensation par le locataire doit pouvoir être prouvée sans délai, sous peine de contrecarrer la volonté du législateur de permettre au bailleur de mettre fin au bail et d’obtenir l’évacuation du locataire dans les plus brefs délais. Cette exigence se justifie d’autant plus que le locataire qui prétend avoir une créance en réduction de loyer ou en dommages-intérêts pour cause de défauts de l’objet loué n’a ni le droit de retenir tout ou partie du loyer échu, ni la possibilité de consigner le loyer. Cette jurisprudence s’applique également dans le cadre de la procédure de protection dans les cas clairs de l’art. 257 CPC (TF 4A_574/2022 précité consid. 3.1 et les réf. citées ; TF 4A_523/2022 du 9 mai 2023 consid. 3.1 et les réf. citées ; TF 4A_385/2022 du 14 février 2023 consid. 3.1).</w:t>
      </w:r>
    </w:p>
    <w:p>
      <w:r>
        <w:rPr>
          <w:b/>
        </w:rPr>
        <w:t>E. 4</w:t>
      </w:r>
    </w:p>
    <w:p>
      <w:r>
        <w:t>à 6). Celles-ci ne contiennent aucun grief clairement formulé et consistent soit dans la reprise d’éléments figurant dans l’ordonnance dont est appel soit dans une liste de faits, sans toutefois mentionner si ceux-ci figurent déjà dans l’acte attaqué ou si on entend le voir complété. Il n’en sera dès lors tenu aucun compte.</w:t>
      </w:r>
    </w:p>
    <w:p>
      <w:r>
        <w:rPr>
          <w:b/>
        </w:rPr>
        <w:t>E. 4.1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25 septembre 2023/388 consid. 3.1.2 ;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SJ 2015 I 200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141 III 23 précité consid. 3.2 ; ATF 138 III 123 consid. 2.1.2 ; TF 4A_195/2023 précité consid. 3.2.2.2).</w:t>
      </w:r>
    </w:p>
    <w:p>
      <w:r>
        <w:rPr>
          <w:b/>
        </w:rPr>
        <w:t>E. 4.2</w:t>
      </w:r>
    </w:p>
    <w:p>
      <w:r>
        <w:t>Une requête en expulsion d’un locataire selon la procédure de protection dans les cas clairs (art. 257 CPC) est admissible même lorsque le locataire a attaqué en justice le congé donné par le bailleur et que cette procédure est pendante (ATF 144 III 462 précité consid. 3.3.1 ; ATF 141 III 262 consid. 3.2, SJ 2016 I 8 ; TF 4A_550/2020 du 29 avril 2021 consid 5.3 ; TF 4A_422/2020 du 2 novembre 2020 consid. 4.3). L’action en expulsion pour défaut de paiement du loyer au sens de l’art. 257 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 d ou 282 CO). Les conditions de l’art. 257 al. 1 CPC s’appliquent également à cette question préjudicielle (ATF 144 III 462 précité consid. 3.3.1 ; ATF 142 III 515 consid.</w:t>
      </w:r>
    </w:p>
    <w:p>
      <w:r>
        <w:rPr>
          <w:b/>
        </w:rPr>
        <w:t>E. 4.3</w:t>
      </w:r>
    </w:p>
    <w:p>
      <w:r>
        <w:t>Aux termes de l’art. 257 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 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 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 d CO, le locataire était en demeure et devait subir les conséquences juridiques de l’al. 2 de cette disposition légale, à savoir la résiliation du bail moyennant un délai de congé de trente jours (ATF 127 III 548 consid. 4, JdT 2002 I 221, SJ 2002 I 33), cela même si l’arriéré avait finalement été payé (TF 4A_436/2018 du 17 janvier 2019 consid. 5.1 et les réf. citées). Si, en revanche, l’une des conditions d’application de l’art. 257 d CO n’est pas réalisée, le congé est inefficace (Lachat, Le bail à loyer, Lausanne 2019, n. 2.3.5 p. 879). Le délai comminatoire commence à courir lorsque le locataire a effectivement reçu en ses mains la mise en demeure, mais au plus tard à l’échéance du délai de garde postale de sept jours (ATF 140 III 244 consid. 5.1 ; ATF 137 III 208 consid. 3.1.3, JdT 2012 II 108, SJ 2011 I 293 ; Lachat, op. cit. , n. 2.2.4 p. 875 et les réf. citées ; Wessner, Droit du bail à loyer et à ferme, Commentaire pratique, 2 e éd., Bâle 2017, n. 21 ad art. 257 d CO et les réf. citées). Il incombe à la partie qui prétend que son obligation a été exécutée de prouver cette exécution, notamment par paiement (ATF 130 III 321 consid. 3.1, JdT 2005 I 618, SJ 2005 I 514 ; ATF 128 III 271 consid. 2a/aa, JdT 2003 I 606 ; TF 4A_195/2023 précité consid. 3.2.4 ; TF 4A_376/2021 du 7 janvier 2022 consid. 4.2.1).</w:t>
      </w:r>
    </w:p>
    <w:p>
      <w:r>
        <w:rPr>
          <w:b/>
        </w:rPr>
        <w:t>E. 4.4</w:t>
      </w:r>
    </w:p>
    <w:p>
      <w:r>
        <w:t>La jurisprudence admet toutefois que le congé prononcé conformément à l’art. 257 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SJ 2015 I 81 ; TF 4A_550/2020 précité consid. 8.2 et les réf. citées). L’annulation du congé doit rester une ultima ratio dans le cas du locataire qui ne paie pas son loyer (TF 4A_252/2014 du 28 mai 2014 consid. 4.2 ; Lachat, op. cit. , note infrapaginale n. 109 p. 881,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4A_550/2020 précité consid. 8.2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précité consid. 1 et les réf. citées ; TF 4A_550/2020 précité consid. 8.2 ; TF 4A_436/2018 précité consid. 5.1).</w:t>
      </w:r>
    </w:p>
    <w:p>
      <w:r>
        <w:rPr>
          <w:b/>
        </w:rPr>
        <w:t>E. 5.1</w:t>
      </w:r>
    </w:p>
    <w:p>
      <w:r>
        <w:t>Dans un premier grief, l’appelant conteste que l’avis comminatoire du 12 avril 2023 ait satisfait aux exigences de clarté et de précision fixées par la jurisprudence. Il fait valoir que si une indication chiffrée du montant dû n’est pas indispensable, il est exigé que le montant soit déterminable de manière certaine, par exemple en indiquant les mois de calendrier impayés. A son sens, l’avis émis par l’intimé serait insuffisant à cet égard.</w:t>
      </w:r>
    </w:p>
    <w:p>
      <w:r>
        <w:rPr>
          <w:b/>
        </w:rPr>
        <w:t>E. 5.2</w:t>
      </w:r>
    </w:p>
    <w:p>
      <w:r>
        <w:t>L’avis comminatoire doit indiquer le montant de l’arriéré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(TF 4A_332/2023 du 11 janvier 2024 consid. 4.1 ; TF 4A_429/2022 du 7 mars 2023 consid. 3.1 ; TF 4A_436/2018 précité consid. 4.1).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4A_332/2023 précité consid. 4.1 ; TF 4A_429/2022 précité consid. 3.1 ; TF 4A_550/2020 précité consid. 7.2 ; TF 4A_436/2018 précité consid. 4.1).</w:t>
      </w:r>
    </w:p>
    <w:p>
      <w:r>
        <w:rPr>
          <w:b/>
        </w:rPr>
        <w:t>E. 5.3</w:t>
      </w:r>
    </w:p>
    <w:p>
      <w:r>
        <w:t>En l’espèce, le courrier adressé par voie recommandée à l’appelant par le conseil de l’intimé le 12 avril 2023 vaut avis comminatoire, ce qui n’est pas contesté par les parties. Il en ressort que le paiement de la somme de 39'000 fr. est exigé pour le « loyer dû à ce jour, selon contrat signé le 2 avril 2008 et reconnaissance de dette du 21 décembre 2022 ». On relèvera ainsi d’emblée que le montant exigé est chiffré et clairement exprimé, contrairement à ce que paraît soutenir l’appelant. On pourrait déduire de son argumentation que la correspondance du montant exigé, soit 39'000 fr., avec la somme effectivement en souffrance ne serait pas établie, respectivement que l’absence d’indication précise des mois concernés invaliderait l’avis comminatoire. Un tel grief n’est cependant pas motivé par l’appelant contrairement à ses obligations procédurales, si bien qu’il doit être déclaré irrecevable. A toutes fins utiles, on précisera qu’il serait en tous les cas infondé, voire téméraire. En effet, l’appelant a signé une reconnaissance de dette en décembre 2022 pour des loyers impayés durant les années 2018 et 2022, ceci pour un montant total de 24’100 fr. (12'900 fr. + 15'500 fr. – 4'300 fr.). Ce document précise encore qu’un décompte sera établi ultérieurement pour les loyers 2019 et 2021. Au surplus, s’il a payé une partie des loyers des mois de janvier à avril 2023, soit 8'000 fr. (2'300 fr. le 8 février 2023, 4'000 fr. le 2 mars 2023 et 1'700 fr. le 31 mars 2023) pour un total de loyers dus de 17'200 fr., l’appelant ne s’est pas acquitté de l’ensemble de ses obligations. Or, comme la juge de paix l’a relevé, le montant requis dans l’avis du 12 avril 2023 correspond non seulement aux montants issus de la reconnaissance de dette précitée mais également des loyers pour les mois de janvier à avril 2023. Certes, deux acomptes, en l’occurrence ceux de 4'000 fr. et de 1'700 fr., n’ont pas été considérés par l’intimé dans son avis. Il n’en reste pas moins que l’appelant était parfaitement en mesure de déterminer à quels mois, respectivement quelles années, les 39'000 fr. exigés se rapportaient. On rappellera encore qu’il lui appartenait de mentionner l’erreur relative à la non prise en compte des deux derniers acomptes versés les 2 et 31 mars 2023. La motivation de la juge de paix n’est sur ce point aucunement critiquée par l’appelant et doit être confirmée. Le grief doit donc être rejeté, dans la mesure de sa recevabilité.</w:t>
      </w:r>
    </w:p>
    <w:p>
      <w:r>
        <w:rPr>
          <w:b/>
        </w:rPr>
        <w:t>E. 6.1</w:t>
      </w:r>
    </w:p>
    <w:p>
      <w:r>
        <w:t>L’appelant se prévaut ensuite de l’exception de compensation soulevée dans le délai comminatoire.</w:t>
      </w:r>
    </w:p>
    <w:p>
      <w:r>
        <w:rPr>
          <w:b/>
        </w:rPr>
        <w:t>E. 6.2</w:t>
      </w:r>
    </w:p>
    <w:p>
      <w:r>
        <w:t>Le locataire peut faire obstacle à l’application de l’art. 257 d CO en invoquant une contre-créance en compensation, à condition que la créance compensatrice soit échue et exigible et que le moyen ait été invoqué avant l’échéance du délai de trente jours de l’art. 257 d al. 1 CO (ATF 119 Il 241 consid. 6b/bb, JdT 1994 I 382 ; TF 4A_429/2022 précité consid.</w:t>
      </w:r>
    </w:p>
    <w:p>
      <w:r>
        <w:rPr>
          <w:b/>
        </w:rPr>
        <w:t>E. 6.3</w:t>
      </w:r>
    </w:p>
    <w:p>
      <w:r>
        <w:t>En l’espèce, dans la motivation de son grief, l’appelant n’expose aucunement quelle serait la prétention dont il se prévaudrait en compensation. On comprend cependant du courrier du 8 mai 2023 reproduit dans la partie « Des faits » de son acte (pp. 5 et 6) qu’il se plaint de divers défauts de la chose louée. Cela étant, la motivation du grief est douteuse, l’appelant se contentant d’évoquer avoir soulevé l’exception de compensation et que, pour cette raison, le cas ne serait pas clair au sens de l’art. 257 CPC. Cela étant, l’appelant se trompe lorsqu’il fait état que la créance compensatrice ne doit pas être déterminée pour être opposable dans le cadre d’une procédure sommaire d’expulsion. En effet, comme la jurisprudence citée plus haut le relève, la preuve sans délai du bien-fondé de cette créance est une exigence pour que celle-ci puisse être prise en compte. Or, l’appelant n’expose aucunement que ses prétentions – dont le montant ne figure d’ailleurs pas dans la partie recevable de l’acte d’appel – auraient été prouvées à satisfaction devant la juge de paix. Au contraire, on déduit de son écriture qu’il estime que le simple fait d’avoir soulevé une prétention, fondée ou non, serait suffisant, ce qui n’est pas le cas. En définitive, le grief doit à nouveau être rejeté, dans la mesure de sa recevabilité.</w:t>
      </w:r>
    </w:p>
    <w:p>
      <w:r>
        <w:rPr>
          <w:b/>
        </w:rPr>
        <w:t>E. 7.1</w:t>
      </w:r>
    </w:p>
    <w:p>
      <w:r>
        <w:t>En définitive, l’appel, manifestement infondé, doit être rejeté dans la mesure de sa recevabilité en application de la procédure de l’art. 312 al. 1 in fine CPC et l’ordonnance entreprise confirmée.</w:t>
      </w:r>
    </w:p>
    <w:p>
      <w:r>
        <w:rPr>
          <w:b/>
        </w:rPr>
        <w:t>E. 7.2</w:t>
      </w:r>
    </w:p>
    <w:p>
      <w:r>
        <w:t>Les frais judiciaires de deuxième instance, arrêtés à 1'330 fr. (art. 62 al. 1 et 3 TFJC [tarif des frais judiciaires civils du 28 septembre 2010 ; BLV 270.11.5]), seront mis à la charge de l’appelant, qui succombe (art. 106 al. 1 CPC).</w:t>
      </w:r>
    </w:p>
    <w:p>
      <w:r>
        <w:rPr>
          <w:b/>
        </w:rPr>
        <w:t>E. 7.3</w:t>
      </w:r>
    </w:p>
    <w:p>
      <w:r>
        <w:t>Compte tenu de l’effet suspensif lié à l’appel (art. 315 al. 1 CPC) et du fait que le terme de l’expulsion est désormais échu, la cause sera renvoyée à la juge de paix pour qu’elle fixe à l’appelant un nouveau délai pour libérer les locaux litigieux.</w:t>
      </w:r>
    </w:p>
    <w:p>
      <w:r>
        <w:rPr>
          <w:b/>
        </w:rPr>
        <w:t>E. 7.4</w:t>
      </w:r>
    </w:p>
    <w:p>
      <w:r>
        <w:t>L’intimé n’ayant pas été invité à se déterminer, il n’y a pas lieu à l’allocation de dépens de deuxième instance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