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889 vom 5. Oktober 2023</w:t>
      </w:r>
    </w:p>
    <w:p>
      <w:r>
        <w:t>VD Tribunal cantonal, 2023-10-05, FR</w:t>
      </w:r>
    </w:p>
    <w:p>
      <w:r>
        <w:rPr>
          <w:b/>
        </w:rPr>
        <w:t xml:space="preserve">Quelle: </w:t>
      </w:r>
      <w:r>
        <w:t>https://mcp.opencaselaw.ch/entscheid/vd_findinfo_HC___2023___889</w:t>
      </w:r>
    </w:p>
    <w:p>
      <w:r>
        <w:t>FR: VD_FINDINFO HC / 2023 / 889 du 5 octobre 2023</w:t>
      </w:r>
    </w:p>
    <w:p>
      <w:r>
        <w:t>IT: VD_FINDINFO HC / 2023 / 889 del 5 ottobre 2023</w:t>
      </w:r>
    </w:p>
    <w:p>
      <w:pPr>
        <w:pStyle w:val="Heading2"/>
      </w:pPr>
      <w:r>
        <w:t>Regeste</w:t>
      </w:r>
    </w:p>
    <w:p>
      <w:r>
        <w:t>DÉCISION D'IRRECEVABILITÉ, DOMMAGE IRRÉPARABLE, REPRÉSENTATION | 319 let. b ch. 2 CPC (CH)</w:t>
      </w:r>
    </w:p>
    <w:p>
      <w:pPr>
        <w:pStyle w:val="Heading2"/>
      </w:pPr>
      <w:r>
        <w:t>Erwägungen</w:t>
      </w:r>
    </w:p>
    <w:p>
      <w:r>
        <w:rPr>
          <w:b/>
        </w:rPr>
        <w:t>E. 1.1</w:t>
      </w:r>
    </w:p>
    <w:p>
      <w:r>
        <w:t>Aux termes de l’art. 319 let. b CPC (Code de procédure civile du 19 décembre 2008 ; RS 272), la voie du recours est ouverte contre les décisions autres que celles mentionnées à la let. a de cette disposition, ainsi que contre les ordonnances d’instruction de première instance. Le délai de recours est de dix jours pour les ordonnances d’instruction (art. 321 al. 1 et 2 CPC).</w:t>
      </w:r>
    </w:p>
    <w:p>
      <w:r>
        <w:rPr>
          <w:b/>
        </w:rPr>
        <w:t>E. 1.2</w:t>
      </w:r>
    </w:p>
    <w:p>
      <w:r>
        <w:t>En l’espèce, le recours a été déposé en temps utile par une partie au bénéfice d’un intérêt digne de protection (art. 59 al. 2 let. a CPC).</w:t>
      </w:r>
    </w:p>
    <w:p>
      <w:r>
        <w:rPr>
          <w:b/>
        </w:rPr>
        <w:t>E. 2</w:t>
      </w:r>
    </w:p>
    <w:p>
      <w:r>
        <w:t>e éd., n. 22 ad art. 319 CPC et les réf. citées). En outre, un préjudice irréparable de nature juridique ne doit pas pouvoir être ultérieurement réparé ou entièrement réparé par une décision finale favorable au recourant (ATF 134 III 188 consid. 2.1 et</w:t>
      </w:r>
    </w:p>
    <w:p>
      <w:r>
        <w:rPr>
          <w:b/>
        </w:rPr>
        <w:t>E. 2.1.1</w:t>
      </w:r>
    </w:p>
    <w:p>
      <w:r>
        <w:t>Contrairement aux cas où le recours est expressément prévu par la loi, le CPC ne prévoit pas une telle voie contre l’ordonnance d’instruction. La recevabilité du recours contre un tel acte est donc subordonnée à l’existence d’un préjudice difficilement réparable au sens de l’art. 319 let. b ch. 2 CPC (cf. ATF 142 III 116 consid. 3.4.1 ; cf. TF 5A_772/2022 du 14 février 2023 consid. 1.1 et les réf. citées ; parmi d’autres : CREC 23 mars 2023/64 ; CREC 26 octobre 2022/246). La notion de préjudice difficilement réparable de l’art. 319 let. b ch. 2 CPC est plus large que celle de dommage irréparable de l’art. 93 al. 1 let. a LTF (loi sur le Tribunal fédéral du 17 juin 2005 ; RS 173.110) (ATF 137 III 380 consid. 2.2 ; cf. TF 4A_298/2020 du 3 juillet 2020 consid. 5.3), puisque le préjudice difficilement réparable peut être de nature factuelle (TF 5A_792/2018 du 6 février 2019 consid. 3.2.2 ; JdT 2014 III 121 consid. 1.2 et les réf. citées) et juridique, alors que le dommage irréparable est de nature juridique (ATF 141 III 80 consid. 1.2 ; ATF 138 III 46 consid. 1.2 ; TF 4A_526/2022 du 6 janvier 2023 consid. 3.2).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13 mars 2023/59 ; Jeandin, Commentaire romand, Code de procédure civile,</w:t>
      </w:r>
    </w:p>
    <w:p>
      <w:r>
        <w:rPr>
          <w:b/>
        </w:rPr>
        <w:t>E. 2.1.2</w:t>
      </w:r>
    </w:p>
    <w:p>
      <w:r>
        <w:t>Les ordonnances de preuves et le refus d'ordonner une preuve doivent en règle générale être contestés dans le cadre du recours ou de l'appel contre la décision finale, puisqu'il est normalement possible, en recourant contre celle-ci, d'obtenir l'administration de la preuve refusée à tort ou d'obtenir que la preuve administrée à tort soit écartée du dossier (TF 4A_132/2021 du 26 mars 2021 consid. 5.2 ; TF 4A_416/2017 du 6 octobre 2017 consid. 4.1 ; CREC 14 juillet 2023/139 ; CREC 10 août 2021/219).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(cf. CREC 14 juillet 2023/139 ; CREC 21 juillet 2021/202).</w:t>
      </w:r>
    </w:p>
    <w:p>
      <w:r>
        <w:rPr>
          <w:b/>
        </w:rPr>
        <w:t>E. 2.2</w:t>
      </w:r>
    </w:p>
    <w:p>
      <w:r>
        <w:t>; TF 5A_40/2022 du 25 mars 2022 consid. 1.2)</w:t>
      </w:r>
    </w:p>
    <w:p>
      <w:r>
        <w:rPr>
          <w:b/>
        </w:rPr>
        <w:t>E. 2.2.1</w:t>
      </w:r>
    </w:p>
    <w:p>
      <w:r>
        <w:t>A titre de préjudice difficilement réparable, la recourante invoque que l’ordonnance entreprise la prive injustement de la possibilité de s’exprimer par ses conseillers juridiques.</w:t>
      </w:r>
    </w:p>
    <w:p>
      <w:r>
        <w:rPr>
          <w:b/>
        </w:rPr>
        <w:t>E. 2.2.2</w:t>
      </w:r>
    </w:p>
    <w:p>
      <w:r>
        <w:t>En l’espèce, il résulte de la jurisprudence précitée que le recours contre la décision refusant d’ordonner une preuve est irrecevable, dès lors qu’elle ne cause généralement pas de risque de dommage difficilement réparable. La recourante ne fait valoir aucun motif exceptionnel, soit par exemple un risque de disparition d’un moyen de preuve, qui justifierait de s’écarter de ce principe général. Elle conserve ainsi la possibilité de requérir l’interrogatoire de ses conseillers juridiques, à tout le moins dans le cadre d’un éventuel recours contre la décision au fond. Par ailleurs, l’organe de la société, interrogé en qualité de partie, peut se faire accompagner à l’audience par un avocat ou même par un employé de la société ayant une formation juridique, ce qui suffit manifestement à écarter la réalisation du préjudice invoqué.</w:t>
      </w:r>
    </w:p>
    <w:p>
      <w:r>
        <w:rPr>
          <w:b/>
        </w:rPr>
        <w:t>E. 3</w:t>
      </w:r>
    </w:p>
    <w:p>
      <w:r>
        <w:t>En définitive, faute de préjudice difficilement réparable (art. 319 let. b ch. 2 CPC), le recours doit être déclaré irrecevable au sens de l'art. 322 al. 1 in fine CPC. Les frais judiciaires de deuxième instance, arrêtés à 300 fr. (art. 69 al. 1 et 70 al. 2, spéc. 2 e phr., TFJC [tarif des frais judiciaires civils du 28 septembre 2010 ; BLV 270.11.5]), sont mis à la charge de la recourante, qui succombe (art. 106 al. 1 CPC). Il n’y a pas lieu à l’allocation de dépens de deuxième instance, dès lors que l’intimée n’a pas été invitée à déposer de réponse. Par ces motifs, la Chambre des recours civile du Tribunal cantonal prononce : I. Le recours est irrecevable. II. Les frais judiciaires de deuxième instance, arrêtés à 300 fr. (trois cents francs), sont mis à la charge de la recourante Z.________SA. III. L’arrêt est exécutoire. La présidente :               La greffière : Du Le présent arrêt, dont la rédaction a été approuvée à huis clos, est notifié à : ‑ Z.________SA, par F.________, ‑ Me Jean-Pierre Wavre (pour K.________SA),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