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862 vom 6. Dezember 2023</w:t>
      </w:r>
    </w:p>
    <w:p>
      <w:r>
        <w:t>VD Tribunal cantonal, 2023-12-06, FR</w:t>
      </w:r>
    </w:p>
    <w:p>
      <w:r>
        <w:rPr>
          <w:b/>
        </w:rPr>
        <w:t xml:space="preserve">Quelle: </w:t>
      </w:r>
      <w:r>
        <w:t>https://mcp.opencaselaw.ch/entscheid/vd_findinfo_HC___2023___862</w:t>
      </w:r>
    </w:p>
    <w:p>
      <w:r>
        <w:t>FR: VD_FINDINFO HC / 2023 / 862 du 6 décembre 2023</w:t>
      </w:r>
    </w:p>
    <w:p>
      <w:r>
        <w:t>IT: VD_FINDINFO HC / 2023 / 862 del 6 dicembre 2023</w:t>
      </w:r>
    </w:p>
    <w:p>
      <w:pPr>
        <w:pStyle w:val="Heading2"/>
      </w:pPr>
      <w:r>
        <w:t>Regeste</w:t>
      </w:r>
    </w:p>
    <w:p>
      <w:r>
        <w:t>DÉCISION D'IRRECEVABILITÉ, DOMMAGE IRRÉPARABLE, CONDUITE DU PROCÈS, DÉCISION | 319 let. b ch. 2 CPC (CH)</w:t>
      </w:r>
    </w:p>
    <w:p>
      <w:pPr>
        <w:pStyle w:val="Heading2"/>
      </w:pPr>
      <w:r>
        <w:t>Volltext</w:t>
      </w:r>
    </w:p>
    <w:p>
      <w:r>
        <w:t>Vaud Tribunal cantonal Chambre des recours civile HC / 2023 / 862</w:t>
      </w:r>
    </w:p>
    <w:p>
      <w:r>
        <w:t>DÉCISION D'IRRECEVABILITÉ, DOMMAGE IRRÉPARABLE, CONDUITE DU PROCÈS, DÉCISION | 319 let. b ch. 2 CPC (CH)</w:t>
      </w:r>
    </w:p>
    <w:p>
      <w:r>
        <w:t>TRIBUNAL CANTONAL TD22.028045-231623-231623 258 CHAMBRE DES RECOURS CIVILE _________________________________________ Arrêt du 6 décembre 2023 __________________ Composition :               Mme CHERPILLOD , présidente M. GE1Crittin Dayen , juges Greffier : M.              Clerc ***** Art. 319 let. b ch. 2 CPC Statuant à huis clos sur le recours interjeté par A.F.________ , à [...], contre la décision rendue le 20 novembre 2023 par le Président du Tribunal civil de l’arrondissement de La Côte dans la cause divisant le recourant d’avec B.F.________ , à [...], la Chambre des recours civile du Tribunal cantonal considère : En fait et en droit : 1. 1.1 Le 12 juillet 2022, B.F.________ a déposé une demande unilatérale en divorce dirigée contre A.F.________. Par réponse du 14 avril 2023, A.F.________ a également conclu au divorce. 1.2 A l’audience du 10 octobre 2023, le conseil de B.F.________ a déposé une écriture libellée « Faits nouveaux ». Le Président du Tribunal civil de l’arrondissement de La Côte (ci-après : le président ou le premier juge) a imparti à A.F.________ un délai de déterminations quant à la recevabilité et au fond de ladite écriture. 2. Le 20 novembre 2023, le président a indiqué aux parties qu’après examen du dossier, il lui était apparu qu’un seul échange d’écritures avait eu lieu, de sorte que l’acte produit le 10 octobre 2023 par le conseil de B.F.________ constituait en réalité une réplique, si bien qu’au lieu d’un délai de déterminations quant à la recevabilité et au fond, c’était un délai de duplique qui aurait dû être imparti à A.F.________. En conséquence, le premier juge a annulé le délai qui avait été initialement imparti à celui-ci et lui a fixé un délai de duplique au 14 décembre 2023, étant précisé qu’une nouvelle audience serait fixée à réception de cette écriture. 3. Par acte du 30 novembre 2023, A.F.________ (ci-après : le recourant) a recouru contre la décision précitée, concluant, avec suite de frais et dépens, à sa réforme en ce sens que l’écriture déposée le 10 octobre 2023 par B.F.________ soit déclarée irrecevable. Le recourant a en outre requis l’octroi de l’effet suspensif à son recours. B.F.________ (ci-après : l’intimée) n’a pas été invitée à se déterminer. 4. 4.1 4.1.1 Aux termes de l’art. 319 let. b CPC , le recours est recevable contre les autres décisions et ordonnances d'instruction de première instance dans les cas prévus par la loi (ch. 1) ou lorsqu'elles peuvent causer un préjudice difficilement réparable (ch. 2). Le recours doit être introduit dans un délai de dix jours (art. 321 al. 2 CPC). 4.1.2 La recevabilité du recours contre une ordonnance d’instruction – lequel n’est pas prévu par la loi – est subordonnée à l'existence d'un risque de préjudice difficilement réparable au regard de l'art. 319 let. b ch. 2 CPC (ATF 142 III 116 consid. 3.4.1 ; TF 5A_772/2022 du 14 février 2023 consid. 1.1 et réf. cit. ; CREC 21 septembre 2023/195 ; CREC 14 juillet 2023/139 ; CREC 23 mars 2023/64), le recourant devant alors démontrer l'existence d'un tel risque de préjudice (CREC 13 décembre 2019/344 ; Haldy, Commentaire romand, Code de procédure civile, 2 e éd., 2019, n. 3 ad art. 125 CPC).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Commentaire romand, op. cit. ,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 n. 22 ad art. 319 CPC et réf. cit.). En outre, un préjudice difficilement réparable ne doit pas pouvoir être ultérieurement réparé ou entièrement réparé par une décision finale favorable au recourant (ATF 134 III 188 consid. 2.1 et 2.2 ; TF 5A_40/2022 du 25 mars 2022 consid. 1.2), ce qui surviendra, par exemple, lorsque des secrets d’affaires sont révélés (CREC 31 août 2023/192 ; CREC 8 août 2022/180 ; CREC 8 mars 2021/67) ou lorsqu’il y a atteinte à des droits absolus à l’instar de la réputation, de la propriété et du droit à la sphère privée (CREC 19 mars 2021/85 ; CREC 10 avril 2019/117 ; Jeandin, op. cit. , n. 22a ad art. 319 CPC et réf. cit.).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4.2 En l’espèce, l’avis du 20 novembre 2023 du président constitue une décision d’instruction, de sorte que celle-ci ne peut être attaquée par le biais d’un recours qu’à condition que le recourant établisse l’existence d’un préjudice difficilement réparable (art. 319 let. b ch. 2 CPC). Le recourant soutient que l’admission en procédure de l’écriture du 10 octobre 2023 serait contraire au droit et violerait de façon crasse la bonne foi en procédure, ce qui lui causerait un préjudice difficilement réparable. Cependant, le recourant pourra se plaindre des violations procédurales qu’il dénonce dans le cadre de l’appel qu’il pourra interjeter contre le jugement au fond. En conséquence, conformément à ce qui a été exposé ci-dessus, l’existence d’un préjudice difficilement réparable doit être niée. 5. 5.1 En définitive, faute de préjudice difficilement réparable au sens de l’art. 319 let. b ch. 2 CPC, le recours doit être déclaré irrecevable, selon le mode procédural de l’art. 322 al.1 in fine CPC. Ce qui précède rend sans objet la requête d’effet suspensif contenue dans le recours. 5.2 Les frais judiciaires de deuxième instance, arrêtés à 100 fr. (art. 69 al. 1 et 70 al. 2, spéc. 2 e phrase, TFJC [tarif des frais judiciaires civils du 28 septembre 2010 ; BLV 270.11.5]), sont mis à la charge du recourant, qui succombe (art. 106 al. 1 CPC). Il n’y a pas lieu à l’allocation de dépens de deuxième instance, l’intimée n’ayant pas été invitée à se déterminer (art. 322 al. 1 in fine CPC). Par ces motifs, la Chambre des recours civile du Tribunal cantonal, en application de l'art. 322 al. 1 CPC, prononce : I. Le recours est irrecevable. II. La requête d’effet suspensif est sans objet. III. Les frais judiciaires de deuxième instance, arrêtés à 100 fr. (cent francs), sont mis à la charge du recourant A.F.________. IV. L’arrêt est exécutoire. La présidente :               Le greffier : Du L'arrêt qui précède, dont la rédaction a été approuvée à huis clos, est notifié à : ‑ Me Christian Jaccard (pour A.F.________), ‑ Me Anaïs Brodard (pour B.F.________).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