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848 vom 12. Dezember 2023</w:t>
      </w:r>
    </w:p>
    <w:p>
      <w:r>
        <w:t>VD Tribunal cantonal, 2023-12-12, FR</w:t>
      </w:r>
    </w:p>
    <w:p>
      <w:r>
        <w:rPr>
          <w:b/>
        </w:rPr>
        <w:t xml:space="preserve">Quelle: </w:t>
      </w:r>
      <w:r>
        <w:t>https://mcp.opencaselaw.ch/entscheid/vd_findinfo_HC___2023___848</w:t>
      </w:r>
    </w:p>
    <w:p>
      <w:r>
        <w:t>FR: VD_FINDINFO HC / 2023 / 848 du 12 décembre 2023</w:t>
      </w:r>
    </w:p>
    <w:p>
      <w:r>
        <w:t>IT: VD_FINDINFO HC / 2023 / 848 del 12 dicembre 2023</w:t>
      </w:r>
    </w:p>
    <w:p>
      <w:pPr>
        <w:pStyle w:val="Heading2"/>
      </w:pPr>
      <w:r>
        <w:t>Regeste</w:t>
      </w:r>
    </w:p>
    <w:p>
      <w:r>
        <w:t>DÉCISION D'IRRECEVABILITÉ, CONCLUSIONS, NATURE RÉFORMATOIRE | 311 al. 1 CPC (CH), 398 CPC (CH)</w:t>
      </w:r>
    </w:p>
    <w:p>
      <w:pPr>
        <w:pStyle w:val="Heading2"/>
      </w:pPr>
      <w:r>
        <w:t>Volltext</w:t>
      </w:r>
    </w:p>
    <w:p>
      <w:r>
        <w:t>Vaud Tribunal cantonal Cour d'appel civile HC / 2023 / 848</w:t>
      </w:r>
    </w:p>
    <w:p>
      <w:r>
        <w:t>DÉCISION D'IRRECEVABILITÉ, CONCLUSIONS, NATURE RÉFORMATOIRE | 311 al. 1 CPC (CH), 398 CPC (CH)</w:t>
      </w:r>
    </w:p>
    <w:p>
      <w:r>
        <w:t>TRIBUNAL CANTONAL JS23.001632-231627 498 cour d’appel CIVILE ____________________________ Arrêt du 12 décembre 2023 __________________ Composition :               M. oulevey , juge unique Greffière :              Mme Juillerat Riedi ***** Art. 311 al.1 et 318 CPC Statuant sur l’appel interjeté par A.Q.________ , à [...], intimé, contre l’ordonnance de mesures protectrices de l’union conjugale rendue le 22 novembre 2023 par la Présidente du Tribunal civil de l’arrondissement de l’Est vaudois dans la cause divisant l’appelant d’avec B.Q.________ , à [...], requérante, le juge unique de la Cour d'appel civile du Tribunal cantonal considère : En fait et en droit : 1. A.Q.________ et B.Q.________ sont mariées et n'ont pas d'enfant. Ils vivent séparés depuis le 1 er janvier 2023. Le 13 janvier 2023, B.Q.________ a déposé une requête de mesures protectrices de l’union conjugale. Lors de l’audience du 9 février 2023, les parties ont conclu une convention, ratifiée séance tenante par la Présidente du Tribunal civil de l’arrondissement de l’Est vaudois (ci-après : la présidente), par laquelle elles s'autorisaient à vivre séparées, attribuaient la jouissance du logement conjugal à B.Q.________ et renonçaient à des dépens. Dans son écriture du 8 mai 2023, B.Q.________ a conclu en substance à ce que son époux soit astreint à lui verser une contribution d’entretien de 4'600 fr. par mois. Lors de la nouvelle audience tenue le 10 juillet 2023, A.Q.________ a conclu d’entrée de cause au rejet intégral des conclusions prises par son épouse. 2. Par ordonnance de mesures protectrices de l’union conjugale du 22 novembre 2023, la présidente a rappelé la convention passée par B.Q.________ et A.Q.________ à l’audience de mesures protectrices de l’union conjugale du 10 juillet 2023, ratifiée séance tenante par la présidente pour valoir prononcé partiel de mesures protectrices de l’union conjugale (I), a dit que A.Q.________ contribuerait à l’entretien de son épouse B.Q.________ par le régulier versement , d’avance le 1 er de chaque mois, dès et y compris le 1 er février 2023, d’une pension mensuelle de 3'050 fr., sous déduction des montants d’ores et déjà versés à ce titre (II), a dit que A.Q.________ était le débiteur de B.Q.________ et lui devait immédiatement paiement de la somme de 3'000 fr. à titre de dépens (III), a rejeté toutes autres et plus amples conclusions (IV) et a rayé la cause du rôle (V). 3. Par acte du 4 décembre 2023, A.Q.________ (ci-après : l’appelant) a interjeté appel contre l’ordonnance précitée, en concluant, avec suite de frais et dépens, principalement à ce que l’ordonnance soit annulée et, subsidiairement, à ce que l’ordonnance soit annulée et la cause renvoyée au président pour nouvelle décision dans le sens des considérants. 4. 4.1 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4.2 En l’espèce, l’appel a été formé en temps utile par une partie qui a un intérêt digne de protection (art. 59 al. 2 let. a CPC) et porte sur des conclusions patrimoniales qui, capitalisées selon l’art. 92 al. 2 CPC, sont supérieures à 10'000 francs. A ces égards, il est donc recevable. 5. 5.1 Selon l'art. 318 al. 1 CPC, l'instance d'appel peut confirmer la décision attaquée, statuer à nouveau ou renvoyer la cause à la première instance. Le choix de l’instance d’appel dépend de son pouvoir d’appréciation, en fonction de l’ensemble des circonstances du cas concret (ATF 144 III 394 consid. 4.3.2 ; TF 4A_103/2015 du 3 juillet 2015 consid. 3.2 ; TF 4A_460/2016 du 5 janvier 2017 consid. 1.3). C'est pourquoi une partie au procès ne dispose pas d'un droit à ce qu'une décision de renvoi soit rendue (TF 4A_129/2019 du 27 mai 2019 consid. 1.2.2 ; TF 5A_645/2021 du 2 février 2022 consid. 3.1). Le renvoi à l'autorité de première instance au sens de l'art. 318 al. 1 let. c CPC doit rester l'exception, car le procès ne doit pas être inutilement allongé, l'instance d'appel devant en règle générale soit confirmer la décision attaquée, soit statuer elle-même à nouveau (TF 5A_645/2021 du 2 février 2022 consid. 3.1 ; TF 5A_745/2021 du 26 avril 2022 consid. 4.3.2.1). Nonobstant le silence de la loi,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Même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Ill 617 consid. 6.2 ; TF 4A_274/2020 du 1 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 TF 5A_164/2019 précité consid. 4.3). Il ne saurait être remédié à des conclusions déficientes par la fixation d'un délai de l'art. 132 CPC, un tel vice n'étant pas d'ordre purement formel et affectant l'appel de façon irréparable (ATF 137 Ill 617 consid. 6.4, JdT 2014 II 187 ; TF 5A_65/2022 du 16 janvier 2023 consid. 3.5.1 ; TF 4A_659/2011 du 7 décembre 2011 consid. 5 in SJ 2012 131 ; Jeandin, Commentaire romand CPC, 2 e éd., Bâle 2019, n. 5 ad art. 311 CPC). 5.2 En l'espèce, l'appelant ne prend pas des conclusions réformatoires, mais exclusivement des conclusions en annulation. Il ne soulève pourtant pas des moyens de nature formelle, qui devraient entraîner une annulation ; il se plaint au contraire, d'une part, du refus du premier juge d'imputer un revenu hypothétique à l'intimée, alors qu'avec ses compétences et son expérience elle pourrait, selon l'appelant, se procurer un revenu de 6'000 fr. net par mois environ, auquel il y aurait lieu d'ajouter des revenus locatifs, et il se plaint, d'autre part, d'une surestimation des charges mensuelles de l'intimée de 1'442 fr. 25 par mois. En l'absence de conclusions réformatoires, il n'y a de toute manière pas lieu de se demander si, sur la base de cette motivation, les montants admis par l'appelant sont reconnaissables. En tout état, il ne peut être entré en matière sur l'appel, qui doit être déclaré irrecevable. 6. Dès lors que l'arrêt d'irrecevabilité met fin à la procédure d'appel, la requête d'effet suspensif n'a plus d'objet. 7. L'arrêt sera exceptionnellement rendu sans frais (art. 11 TFJC (tarif des frais judiciaires civils du 28 septembre 2010 ; BLV 270.11.5). Par ces motifs, le juge unique de la Cour d’appel civile prononce : I. L’appel est irrecevable. II. La requête d'effet suspensif n'a plus d'objet. III. Il n'est pas perçu de frais judiciaires. IV. L’arrêt est exécutoire. Le juge unique :               La greffière : Du Le présent arrêt, dont la rédaction a été approuvée à huis clos, est notifié à : ‑ Me Robert Ayrton (pour l’appelant) ‑ Me Laure Chappaz (pour l’intimée)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