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80 vom 10. Februar 2023</w:t>
      </w:r>
    </w:p>
    <w:p>
      <w:r>
        <w:t>VD Tribunal cantonal, 2023-02-10, FR</w:t>
      </w:r>
    </w:p>
    <w:p>
      <w:r>
        <w:rPr>
          <w:b/>
        </w:rPr>
        <w:t xml:space="preserve">Quelle: </w:t>
      </w:r>
      <w:r>
        <w:t>https://mcp.opencaselaw.ch/entscheid/vd_findinfo_HC___2023___80</w:t>
      </w:r>
    </w:p>
    <w:p>
      <w:r>
        <w:t>FR: VD_FINDINFO HC / 2023 / 80 du 10 février 2023</w:t>
      </w:r>
    </w:p>
    <w:p>
      <w:r>
        <w:t>IT: VD_FINDINFO HC / 2023 / 80 del 10 febbraio 2023</w:t>
      </w:r>
    </w:p>
    <w:p>
      <w:pPr>
        <w:pStyle w:val="Heading2"/>
      </w:pPr>
      <w:r>
        <w:t>Regeste</w:t>
      </w:r>
    </w:p>
    <w:p>
      <w:r>
        <w:t>CAPACITÉ DE DISCERNEMENT, CURATELLE DE REPRÉSENTATION{ART. 394 CC}, CURATELLE DE REPRÉSENTATION AYANT POUR OBJET LA GESTION DU PATRIMOINE, BAIL À LOYER, EXERCICE DES DROITS CIVILS, CONCLUSION DU CONTRAT | 16 CC, 394 al. 1 CC, 394 al. 2 CC, 395 al. 1 CC, 1 al. 1 CO, 2 CO, 253 CO</w:t>
      </w:r>
    </w:p>
    <w:p>
      <w:pPr>
        <w:pStyle w:val="Heading2"/>
      </w:pPr>
      <w:r>
        <w:t>Erwägungen</w:t>
      </w:r>
    </w:p>
    <w:p>
      <w:r>
        <w:rPr>
          <w:b/>
        </w:rPr>
        <w:t>E. 1.1</w:t>
      </w:r>
    </w:p>
    <w:p>
      <w:r>
        <w:t>Pour déterminer quelle voie de droit, de l'appel ou du recours, est ouverte, il faut se fonder sur la valeur litigieuse, calculée selon le droit fédéral (cf. ATF 137 III 389 consid. 1.1) , l'appel étant ouvert dans les causes patrimoniales dont la valeur litigieuse est d’au moins 10'000 fr. (art. 308 al. 2 CPC [Code de procédure civile du 19 décembre 2008 ; RS 272).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l'annulabilité d'une résiliation (JdT 2011 III 83 ; TF 4A_634/2009 du 3 mars 2010 consid. 1.1 ; SJ 2001 I 17 consid. la; ATF 119 II 147 consid. 1, JdT 1994 I 205).</w:t>
      </w:r>
    </w:p>
    <w:p>
      <w:r>
        <w:rPr>
          <w:b/>
        </w:rPr>
        <w:t>E. 1.2</w:t>
      </w:r>
    </w:p>
    <w:p>
      <w:r>
        <w:t>En l’espèce, il apparaît que le litige porte sur l'existence ou non d'un contrat de bail à loyer liant les parties et que, si un tel contrat devait exister, la valeur litigieuse devrait être calculée en application de la jurisprudence précitée. On ne dispose toutefois d’aucun élément pour déterminer la valeur locative de la villa litigieuse. Cela étant, dès lors qu’un montant de 10'000 fr. correspondrait sur trois ans à un loyer mensuel de 277 fr. 77, il apparaît que la valeur litigieuse est suffisante pour que la voie de l’appel soit ouverte. Au surplus, formé en temps utile par une partie qui dispose d’un intérêt digne de protection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2019, 2 e éd., nn. 2 ss ad art. 310 CPC). Elle peut revoir librement l'appréciation des faits sur la base des preuves administrées en première instance (Jeandin, op. cit., n. 6 ad art. 310 CPC).</w:t>
      </w:r>
    </w:p>
    <w:p>
      <w:r>
        <w:rPr>
          <w:b/>
        </w:rPr>
        <w:t>E. 2.2</w:t>
      </w:r>
    </w:p>
    <w:p>
      <w:r>
        <w:t>et les réf. citées ; Colombini, op. cit., n. 8.2.2 ad art. 311 CPC). Le moyen de l’appelante est ainsi irrecevable. Il n'y a dès lors pas lieu de s'attarder sur sa critique de l'état de fait du jugement, sauf en ce qui concerne un moyen clairement énoncé, à savoir que dans sa décision du 6 juillet 2020, la Justice de paix a aussi retenu que « en raison de ses défaillances et de sa vulnérabilité particulière inhérente à son âge avancé, A.K.________ est empêchée de gérer ses affaires financières et administratives et d’assurer elle-même la sauvegarde de ses intérêts, ainsi que de contrôler la gestion d’un mandataire ». L’état de fait a ainsi été complété dans ce sens. Par souci d’exhaustivité, il a également été indiqué que selon la même décision, depuis une année la relation entre l’intéressée et sa fille était devenue très conflictuelle de sorte qu’elles souhaitaient toutes deux mettre fin à leur cohabitation, que l’appelante n’était pas disposée à quitter leur logement, et qu’elle avait refusé au terme d’une hospitalisation de sa mère que celle-ci retourne à son propre domicile, de sorte qu’elle avait dû aller en EMS de manière provisoire.</w:t>
      </w:r>
    </w:p>
    <w:p>
      <w:r>
        <w:rPr>
          <w:b/>
        </w:rPr>
        <w:t>E. 2.2.1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2.2.2.1</w:t>
      </w:r>
    </w:p>
    <w:p>
      <w:r>
        <w:t>L’appelante demande que toutes les pièces requises dans son courrier du 2 février 2022 soient produites. Telle quelle, cette réquisition est insuffisamment précise. On peut éventuellement comprendre qu’il s’agit des pièces énumérées en pages 4 et 5 de son appel, qu’elle avait requises le 1 er février 2022. Ces pièces ne concernent en rien l’existence d’un contrat de bail, et cette réquisition ne peut être que rejetée. Au surplus, l’autorité de première instance a indiqué dans un courrier du 9 février 2022 que cette réquisition serait examinée lors de l’audience du 22 février 2022, de sorte que l’appelante ne peut s’en prendre qu’à elle-même si elle ne l’a pas renouvelée en audience.</w:t>
      </w:r>
    </w:p>
    <w:p>
      <w:r>
        <w:rPr>
          <w:b/>
        </w:rPr>
        <w:t>E. 2.2.2.2</w:t>
      </w:r>
    </w:p>
    <w:p>
      <w:r>
        <w:t>L’appelante reproche aux premiers juges de ne pas avoir davantage donné suite à sa réquisition tendant à ce que l’état de santé mentale de l’intimée A.K.________ soit expertisé par un médecin neutre. Comme on le verra ci-dessous (cf. consid. 4.3.3), cette requête est infondée. En effet, l’appelante n’invoque aucun élément qui permettrait de penser que l’intéressée serait privée de son discernement. Le grand âge de l’intéressée ne saurait à lui seul justifier la mise en œuvre d’une expertise médicale. Au demeurant, si elle pouvait avoir une influence sur la question de savoir si le conseil de l’intimée a valablement été mandaté, ce que l’appelante conteste, on ne voit pas en quoi cette expertise pourrait contribuer à la résolution du litige, portant sur l’existence d’un contrat de bail à loyer liant l’appelante aux intimées. La réquisition doit donc être rejetée.</w:t>
      </w:r>
    </w:p>
    <w:p>
      <w:r>
        <w:rPr>
          <w:b/>
        </w:rPr>
        <w:t>E. 3.1</w:t>
      </w:r>
    </w:p>
    <w:p>
      <w:r>
        <w:t>L’appelante s’en prend aux faits constatés dans le jugement entrepris. Elle fait valoir que les premiers juges n’auraient pas instruit la cause de manière adéquate, ce qui aurait eu comme conséquence que plusieurs faits essentiels auraient selon elle été omis ou ne seraient pas établis.</w:t>
      </w:r>
    </w:p>
    <w:p>
      <w:r>
        <w:rPr>
          <w:b/>
        </w:rPr>
        <w:t>E. 3.2</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loc. cit. ainsi que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pas entrer en matière (TF 5A_209/2014 du 2 septembre 2014 consid. 4.2.1 ; Colombini, op. cit. et loc. cit. ainsi que les réf. citées).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l'autorité d'appel ne peut entrer en matière (TF 4A_580/2015 du 11 avril 2016 consid. 2.2 destiné à la publication ; TF 5A_488/2015 du 21 août 2015 consid. 3.2.1, RSPC 2015 p. 512 ; TF 4A_290/2014 du 1 er septembre 2014 consid. 3.1, RSPC 2015 p. 52 ; TF 5A_438/2012 du 27 août 2012 consid. 2.2). Le CPC ne prévoit pas qu'en présence d'un mémoire de recours (ou d'appel) ne satisfaisant pas aux exigences légales, notamment de motivation, un délai raisonnable doive toujours être octroyé pour rectification. L'art. 132 al. 1 et 2 CPC (vice de forme)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5A_65/2022 du 16 janvier 2023 consid. 3.5.1 ; TF 5A_488/2015 du 21 août 2015 consid.3.2.2 et réf. ; TF 4A_659/2011 du 7 décembre 2011 consid. 5, RSPC 2012 p. 128, SJ 2012 I p. 231).</w:t>
      </w:r>
    </w:p>
    <w:p>
      <w:r>
        <w:rPr>
          <w:b/>
        </w:rPr>
        <w:t>E. 3.3</w:t>
      </w:r>
    </w:p>
    <w:p>
      <w:r>
        <w:t>En l’espèce, l’appelant se livre sur six pages de son recours (pp. 3 à 8) à une énumération des faits en lien avec la capacité de discernement de l’intimée A.K.________, qui selon elle auraient dû être mentionnés dans le jugement et amener les premiers juges à conclure à l’incapacité de l’intéressée d’être partie, d’ester en justice et de mandater un avocat sans autorisation de la Justice de paix. De la même manière, elle conteste l’état de fait du jugement en lien avec l’existence d’un contrat de bail en sa faveur et retranscrit sur trois pages les faits qu’elle estime déterminants pour l’appréciation du litige (pp. 12 à 14). L’appelante le fait d’une manière confuse et désordonnée, sans indiquer en particulier sur quels points de l’état de fait porte son éventuelle critique. Les griefs de l’appelante se trouvent ainsi mêlés à un état de fait de son cru, et se ramènent pratiquement à une énumération de ce que les premiers juges auraient selon elle dû retenir. Or, il n'appartient pas à la Cour d'appel civile de comparer l'état de fait présenté en appel avec celui du jugement pour y déceler les éventuelles modifications apportées et en déduire les critiques de l'appelante (CACI 12 juin 2020/238 consid.</w:t>
      </w:r>
    </w:p>
    <w:p>
      <w:r>
        <w:rPr>
          <w:b/>
        </w:rPr>
        <w:t>E. 4.1</w:t>
      </w:r>
    </w:p>
    <w:p>
      <w:r>
        <w:t>L’appelante soutient que les premiers juges auraient dû trancher « de manière préalable », c’est-à-dire si l’on comprend bien par un jugement incident au sens de l’art. 125 let. a CPC, la question de la capacité de postuler de Me Thaler, qui n’aurait pas été valablement mandaté du fait que l’intimée A.K.________ n’avait pas la capacité de discernement.</w:t>
      </w:r>
    </w:p>
    <w:p>
      <w:r>
        <w:rPr>
          <w:b/>
        </w:rPr>
        <w:t>E. 4.2.1</w:t>
      </w:r>
    </w:p>
    <w:p>
      <w:r>
        <w:t>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Guide pratique COPMA, Zurich/St-Gall 2012,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Biderbost/Henkel, Basler Kommentar, op. cit., n. 31 ad art. 394 CC, p. 2365 ; Meier, CommFam, op. cit., n. 12 ad art. 395 CC, p. 453). Ainsi, l'exercice des droits civils peut être retiré par rapport à l'utilisation d'une carte de crédit (Biderbost/Henkel, Basler Kommentar, ibid.). S'agissant des actes touchés par la restriction des droits civils, la mesure instituée peut être assimilée à une curatelle de portée générale (Meier, ibid., n. 33 ad art. 394 CC, p. 444).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w:t>
      </w:r>
    </w:p>
    <w:p>
      <w:r>
        <w:rPr>
          <w:b/>
        </w:rPr>
        <w:t>E. 4.2.2</w:t>
      </w:r>
    </w:p>
    <w:p>
      <w:r>
        <w:t>Selon l'art. 16 CC (Code civil suisse du 10 décembre 1907 ; RS 210), est capable de discernement toute personne qui n'est pas dépourvue de la faculté d'agir raisonnablement en raison de son jeune âge, de déficience mentale, de troubles psychiques, d'ivresse ou d'autres causes semblables. 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les facultés requises devant exister au moment de l'acte. Une personne n'est privée de la capacité de discernement au sens de la loi que si sa faculté d'agir raisonnablement est altérée, en partie du moins, par l'une des causes énumérées à l'art. 16 CC, dont la déficience mentale ou les troubles psychiques à savoir des états jugés anormaux et qui sont suffisamment graves pour avoir effectivement altéré la faculté d'agir raisonnablement, en relation avec l'acte considéré. Par troubles psychiques, il faut entendre des troubles psychiques durables et caractérisés qui ont sur le comportement extérieur de la personne atteinte des conséquences évidentes qualitativement et profondément déconcertantes pour un profane averti (TF 5A_15/2008 du 14 février 2008 consid. 2.1, où il est question de « maladie mentale » et de « faiblesse d'esprit », conformément à l'ancienne teneur de l'art. 16 CC). La notion juridique de maladie mentale est plus étroite que la notion retenue habituellement en médecine et qui recouvre les cas d'arriération mentale, de démence, de névrose et de psychose, chacun de ces troubles pouvant présenter divers degrés et diverses formes. Selon la jurisprudence, la capacité de discernement est la règle ; elle est présumée selon l'expérience générale de la vie, de sorte qu'il incombe à celui qui prétend qu'elle faisait défaut au disposant de le prouver. Cette preuve n'est soumise à aucune prescription particulière ; une vraisemblance prépondérante excluant tout doute sérieux suffit, notamment quand il s'agit de l'état mental d'une personne décédée, car la nature même des choses rend alors impossible une preuve absolue (ATF 134 II 235 consid. 4.3.3; ATF 117 II 231 consid. 2b; TF, 5A_859/2014 du 17 mars 2015 consid. 4.1.2 ; TF, 5A_191/2012 du 12 octobre 201, consid. 4.1.2 ; Werro/Schmidlin, CR CC I, 2010, nn. 1ss ad 16 CC). Lorsqu'une personne est atteinte de déficience mentale ou de troubles psychiques, l'incapacité de discernement est présumée, car cette personne doit généralement être considérée comme étant selon une vraisemblance prépondérante, dépourvue, en principe, de discernement ;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5A_12/2009 du 25 mars 2009 consid. 2.2; TF 5A_204/2007 du 16 octobre 2007 consid. 5.2).</w:t>
      </w:r>
    </w:p>
    <w:p>
      <w:r>
        <w:rPr>
          <w:b/>
        </w:rPr>
        <w:t>E. 4.3.1</w:t>
      </w:r>
    </w:p>
    <w:p>
      <w:r>
        <w:t>En l’espèce, le grief, tel que formulé par l’appelante, est dépourvu de toute portée. En effet, les premiers juges ont examiné la question de la capacité de postuler de Me Thaler et y ont répondu par l’affirmative. On ne voit dès lors pas qu’on puisse leur reprocher de ne pas avoir rendu un jugement séparé sur cette question, dès lors qu’au vu de la réponse donnée à cette question préjudicielle, la procédure était appelée à se poursuivre au fond.</w:t>
      </w:r>
    </w:p>
    <w:p>
      <w:r>
        <w:rPr>
          <w:b/>
        </w:rPr>
        <w:t>E. 4.3.2</w:t>
      </w:r>
    </w:p>
    <w:p>
      <w:r>
        <w:t>On doit aussi comprendre que l’appelante fait valoir – comme en première instance, de sorte que la recevabilité du moyen est douteuse –, que les premiers juges auraient dû retenir que l’avocat Thaler n’avait pas été valablement mandaté, faute pour l’intimée d’être autorisée, respectivement capable de nommer un mandataire. L’appelante soutient que la curatrice aurait dû agir conformément à l’art. 416 CC, soit requérir pour plaider l’autorisation de l’autorité de protection de l’adulte. Cette argumentation se heurte à plusieurs obstacles. Tout d’abord, l’appelante fait aussi valoir que c’est l’intimée elle-même qui a mandaté son avocat. Dans cette mesure, la curatrice ne devait rien demander à la Justice de paix. Ensuite, selon l’al. 2 de cette disposition, l’autorisation n’est pas nécessaire si la personne concernée est capable de discernement, que l’exercice de ses droits civils n’est pas restreint par la curatelle et qu’elle donne son accord. En définitive, toute l’argumentation de l’appelante revient à affirmer que l’intimée, n’ayant pas le discernement, n’aurait pas valablement mandaté son avocat.</w:t>
      </w:r>
    </w:p>
    <w:p>
      <w:r>
        <w:rPr>
          <w:b/>
        </w:rPr>
        <w:t>E. 4.3.3</w:t>
      </w:r>
    </w:p>
    <w:p>
      <w:r>
        <w:t>Selon l'appelante, il ressortirait de la décision de la Justice de paix que l'intimée ne serait « ni autorisée, ni capable de nommer un mandataire ». Il ressort au contraire de cette décision, comme l'ont retenu à juste titre les premiers juges, que l'intéressée a le discernement, et qu'il n'y a pas lieu de limiter l'exercice de ses droits civils ou l'accès à ses biens. L’appelante n’invoque à cet égard aucun élément permettant de penser que l'intéressée serait privée de son discernement. En effet, le constat de la Justice de paix à propos des limitations de l’intéressée, cité par l’appelante qui le sort de son contexte, n'y change rien. L'intimée en raison de son grand âge n'est pas en mesure de contrôler l'activité d'un mandataire – économique, s'entend – dans la gestion quotidienne de ses biens. Cela ne signifie nullement qu'elle ne soit pas en mesure de mandater un avocat dans le but de réintégrer son domicile, et de récupérer la jouissance de son usufruit, encore moins de défendre à un procès. Dans ces conditions, il n'y a nullement à ordonner une expertise sur le discernement de l'intimée, comme le demande l'appelante. Il n'y a par ailleurs aucune raison de douter de ce discernement. Comme le retiennent à juste titre les premiers juges, l’intimée a confirmé à plusieurs reprises devant les autorités judiciaires, que ce soit le 24 août 2021 devant la Chambre patrimoniale cantonale, le 15 décembre 2021 devant la Cour d’appel civile ou encore le 22 février 2022 devant le Tribunal des baux, être consciente d’être représentée par Me Thaler et des enjeux de la procédure. A titre superfétatoire, on relèvera que même si elle a allégué dans sa demande que l'intimée n'était pas capable de mandater un avocat, l'appelante a indiqué en page de garde de celle-ci que Me Thaler était l'avocat de l'intimée. Elle s'est déterminée sur les allégués de la réponse déposée par Me Thaler, sans émettre de réserve. Ce n'est qu'en audience qu'elle a contesté la capacité de postuler de celui-ci. En définitive, il n’y a aucune raison de penser que l’intéressée était privée de discernement lorsqu’elle a mandaté son conseil. L’appelante, à qui il incombait d’apporter cette preuve, ne s’en prend à aucun des éléments retenus par les premiers juges (pas de limitation de l’exercice des droits civils de l’intéressée par l’autorité de protection de l’adulte, faculté – constatée devant les diverses instances judiciaires saisies – d’apprécier la portée de ses actes et la signification de la procédure, comparution personnelle à l’audience du Tribunal des baux). L’appel doit donc être rejeté sur ce point.</w:t>
      </w:r>
    </w:p>
    <w:p>
      <w:r>
        <w:rPr>
          <w:b/>
        </w:rPr>
        <w:t>E. 5.1</w:t>
      </w:r>
    </w:p>
    <w:p>
      <w:r>
        <w:t>L’appelante reproche ensuite aux premiers juges d’avoir retenu à tort qu’elle n’était pas au bénéfice d’un contrat de bail.</w:t>
      </w:r>
    </w:p>
    <w:p>
      <w:r>
        <w:rPr>
          <w:b/>
        </w:rPr>
        <w:t>E. 5.2.1</w:t>
      </w:r>
    </w:p>
    <w:p>
      <w:r>
        <w:t>Selon l'art. 253 CO, le bail à loyer est un contrat par lequel le bailleur s'oblige à céder l'usage d'une chose au locataire moyennant un loyer. Ainsi, les deux éléments essentiels à la conclusion d’un contrat de bail sont la cession de l’usage d’une chose au locataire et le versement d’un loyer, lequel comprend les frais liés à l’entretien de l’objet (ATF 110 II 404, consid. 3a cité in Bohnet/Diestchy, Droit du bail à loyer, 2010, n. 65 ad art. 253 CO). Le montant du loyer doit être déterminé ou déterminable. Le loyer peut consister en une somme d’argent ou être constitué d’une contre-prestation en nature ou en travail, le contrat étant alors mixte ou composé (Bonhnet/Dietschy, op. cit., nn. 65 s. et n. 81 ss ad art. 253 CO et réf.).</w:t>
      </w:r>
    </w:p>
    <w:p>
      <w:r>
        <w:rPr>
          <w:b/>
        </w:rPr>
        <w:t>E. 5.2.2</w:t>
      </w:r>
    </w:p>
    <w:p>
      <w:r>
        <w:t>Aux termes de l'art. 1 al. 1 CO, le contrat est parfait lorsque les parties ont, réciproquement et d'une manière concordante, manifesté leur volonté. Pour qu'un contrat se forme, il faut que les parties s'accordent sur les points essentiels (art. 2 al. 1 CO). Les points essentiels sont les clauses indispensables à l'existence du contrat, tant les points subjectivement qu'objective-ment essentiels (Morin, in Thévenoz/Werro [édit.], Commentaire romand, Code des obligations I, 3 e éd., 2021, nn. 2 ss ad art. 2 CO et les réf. citées). La volonté des parties peut s’exprimer de manière expresse ou tacite (art. 1 al. 2 CO). Une manifestation de volonté tacite ne peut cependant être retenue au sens de cette disposition qu’en présence d’un comportement univoque, dont l’interprétation ne suscite raisonnablement aucun doute (TF 4A_666/2017 du 17 mai 2018 consid. 4.3 et les réf. citées ; CACI 18 décembre 2020/547 consid. 3.2.1).</w:t>
      </w:r>
    </w:p>
    <w:p>
      <w:r>
        <w:rPr>
          <w:b/>
        </w:rPr>
        <w:t>E. 5.3</w:t>
      </w:r>
    </w:p>
    <w:p>
      <w:r>
        <w:t>L'appelante fait d’abord valoir qu'elle versait un loyer. La nature de ce loyer n'est pas très précise, même à suivre l'appel. Il s'agirait en premier lieu des soins qu'elle aurait apporté à sa mère. Ces soins ne ressortent aucunement de l'état de fait du jugement et ne sont donc pas établis. Les invoquer est particulièrement choquant dès lors que l'appelante s'oppose à ce que sa mère retourne chez elle, avec pour résultat qu'elle ne lui administre en aucun cas des soins, et que l'intimée doit pour cette raison séjourner en EMS. Il s'agirait ensuite des revenus – non spécifiés quant à leur quotité – d'un compte « nue-propriété – usufruit » ouvert à l'[...] « suite au décès de E.K.________ », qui auraient été perçus par l'intimée. Il s'agit là d'un fait nouveau irrecevable. L'appelante a seulement évoqué de manière imprécise les revenus d'un compte qui auraient été versés à sa mère « depuis qu'elle réside en EMS » dans ses déterminations sur la réponse. Elle n'a produit aucune pièce à ce sujet. Au demeurant, le moyen est téméraire : il revient à soutenir que les revenus de biens laissés par le défunt, dont l'usufruit a été attribué à l'intimée, constitueraient un loyer que l'appelante verserait à celle-ci. L'appelante persiste à soutenir qu'elle s'acquittait de tous les frais en relation avec la maison. Elle s'écarte sur ce point, sans preuve aucune, de l'état de fait retenu par les premiers juges. Les paiements effectués par l'appelante à des tiers, fort modestes et irréguliers, ne sauraient guère être considérés comme un loyer. Ils représentent en tout 5'575 fr. 95 sur une période de deux ans et demi, soit l'équivalent de 2'230 fr. par an ou 186 fr. par mois. Enfin et surtout, comme l’ont retenu à juste titre les premiers juges, la conclusion d’un contrat de bail à loyer présuppose une volonté commune des parties de céder l’usage d’une chose en échange du paiement d’un loyer. Or, il ne ressort du jugement, pas plus que du dossier, aucun élément factuel permettant de retenir que les parties se seraient accordées sur une location de la villa litigieuse. L'appelante fait valoir qu'il y aurait lieu d'instruire sur le discernement de sa mère, et qu'on ne pourrait retenir ses dénégations. Mais c'est à elle qu’il incombait d'établir l’existence d’un accord. De manière parfaitement contradictoire, elle soutient comme on l'a vu précédemment que le loyer aurait consisté en des soins prétendument apportés à sa mère, mais elle admet dans son mémoire d’appel (p. 15) qu'il n'y a eu aucune discussion entre elles au sujet d'un bail. Elle prétend que ce bail aurait été conclu avec la curatrice. Celle-ci a toutefois déclaré qu’il n’y avait pas eu de discussion avec l’appelante en termes de bail lors de son audition le 15 décembre 2021 par le Juge unique de la Cour de céans. L'appelante prétend aussi qu'un bail aurait été conclu du fait que la curatrice lui avait demandé de payer toutes les factures concernant la maison. Ce fait n'est nullement établi. La curatrice lui a demandé de payer certaines factures, ce qui se comprend puisque l'appelante occupe la maison et s'oppose à ce que sa mère réintègre celle-ci. On ne peut nullement en déduire la conclusion d'un contrat de bail. Là aussi, cette argumentation est téméraire. Elle l'est d'autant plus qu'interrogée à ce sujet également lors de l’audience d’appel du 15 décembre 2021, l'appelante elle-même a indiqué qu'elle n'avait pas parlé avec la curatrice à ce sujet, ni avec sa mère. Elle fait valoir à ce sujet que la procédure ne portait pas sur l'existence d'un bail. Cela ne change rien, et l'appelante se garde de rappeler que le Juge délégué de la Chambre patrimoniale cantonale avait rejeté la conclusion de l'intimée visant à son déguerpissement justement en raison de l'existence de la procédure portant sur un prétendu bail. L’appréciation des premiers juges ne prête dès lors pas le flanc à la critique, l’appelante échouant à démontrer que les parties seraient convenues – de manière réciproque et concordante – de ce que la prise en charge par l’appelante de l’ensemble des frais ou de l’intendance de la maison constituerait la contrepartie directe de la cession de la jouissance de la villa. Faute d’éléments objectifs le permettant, la conclusion d’un tel bail selon le principe de la confiance est également exclue.</w:t>
      </w:r>
    </w:p>
    <w:p>
      <w:r>
        <w:rPr>
          <w:b/>
        </w:rPr>
        <w:t>E. 6.1</w:t>
      </w:r>
    </w:p>
    <w:p>
      <w:r>
        <w:t>En définitive, l’appel, manifestement infondé, doit être rejeté selon le mode procédural de l’art. 312 al. 1 CPC et le jugement confirmé.</w:t>
      </w:r>
    </w:p>
    <w:p>
      <w:r>
        <w:rPr>
          <w:b/>
        </w:rPr>
        <w:t>E. 6.2</w:t>
      </w:r>
    </w:p>
    <w:p>
      <w:r>
        <w:t>La cause étant d’ emblée dépourvue de toute chance de succès (art. 117 let. b CPC), la requête d’assistance judiciaire de l’appelante sera rejetée. L’appel ne contient en effet aucun argument, ni même raisonnement, en faveur de l’existence d’un bail. Pour le surplus, s’agissant du discernement de la partie adverse et de la capacité de postuler du conseil de celle-ci, il ne fait que reprendre l’argumentation déjà écartée à trois reprises par les autorités judiciaires.</w:t>
      </w:r>
    </w:p>
    <w:p>
      <w:r>
        <w:rPr>
          <w:b/>
        </w:rPr>
        <w:t>E. 6.3</w:t>
      </w:r>
    </w:p>
    <w:p>
      <w:r>
        <w:t>Les frais judiciaires de deuxième instance, arrêtés à 700 fr. (art. 62 al. 1 TFJC [tarif des frais judiciaires civils du 28 septembre 2010 ; BLV 270.11.5]), seront mis à la charge de l’appelante, qui succombe (art. 106 al. 1 CPC). Il n’y a pas lieu à l’allocation de dépens de deuxième instance, les intimées n’ayant pas été invitées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