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781 vom 24. Oktober 2022</w:t>
      </w:r>
    </w:p>
    <w:p>
      <w:r>
        <w:t>VD Tribunal cantonal, 2022-10-24, FR</w:t>
      </w:r>
    </w:p>
    <w:p>
      <w:r>
        <w:rPr>
          <w:b/>
        </w:rPr>
        <w:t xml:space="preserve">Quelle: </w:t>
      </w:r>
      <w:r>
        <w:t>https://mcp.opencaselaw.ch/entscheid/vd_findinfo_HC___2023___781</w:t>
      </w:r>
    </w:p>
    <w:p>
      <w:r>
        <w:t>FR: VD_FINDINFO HC / 2023 / 781 du 24 octobre 2022</w:t>
      </w:r>
    </w:p>
    <w:p>
      <w:r>
        <w:t>IT: VD_FINDINFO HC / 2023 / 781 del 24 ottobre 2022</w:t>
      </w:r>
    </w:p>
    <w:p>
      <w:pPr>
        <w:pStyle w:val="Heading2"/>
      </w:pPr>
      <w:r>
        <w:t>Regeste</w:t>
      </w:r>
    </w:p>
    <w:p>
      <w:r>
        <w:t>AVOCAT, POUVOIR DE REPRÉSENTATION, DÉLAI FIXÉ PAR L'AUTORITÉ, INDÉPENDANCE DE L'AVOCAT | 59 al. 1 CPC (CH), 68 al. 2 CPC (CH)</w:t>
      </w:r>
    </w:p>
    <w:p>
      <w:pPr>
        <w:pStyle w:val="Heading2"/>
      </w:pPr>
      <w:r>
        <w:t>Erwägungen</w:t>
      </w:r>
    </w:p>
    <w:p>
      <w:r>
        <w:rPr>
          <w:b/>
        </w:rPr>
        <w:t>E. 1.1.1</w:t>
      </w:r>
    </w:p>
    <w:p>
      <w:r>
        <w:t>L'appel est notamment recevable contre les décisions finales et incidentes de première instance (art. 308 al. 1 let. a CPC [Code de procédure civile suisse du 19 décembre 2008 ; RS 272]), dans les causes patrimoniales dont la valeur litigieuse est d'au moins 10'000 fr. (art. 308 al. 2 CPC) et doit être introduit auprès de l'instance d'appel, soit de la Cour d'appel civile (art. 84 al. 1 LOJV [loi vaudoise d'organisation judiciaire du 12 décembre 1979 ; BLV 173.01]), dans les trente jours à compter de la notification de la décision motivée ou de la notification postérieure de la motivation (art. 311 al. 1 CPC). La décision est incidente, à teneur de l'art. 237 al. 1 CPC, si l'instance de recours pourrait prendre une décision contraire qui mettrait fin au procès et permettrait de réaliser une économie de temps ou de frais appréciable. Il s'agit normalement de décisions rendues sur des conditions de recevabilité de la demande ou de la reconvention, ou sur des questions de fond jugées séparément, à la condition que l'instance de recours puisse mettre fin à l'action elle-même et que cela permette d'économiser du temps et des frais (TF 4A_545/2014 du 10 avril 2015 consid. 2.1, RSPC 2015 p. 334).</w:t>
      </w:r>
    </w:p>
    <w:p>
      <w:r>
        <w:rPr>
          <w:b/>
        </w:rPr>
        <w:t>E. 1.1.2</w:t>
      </w:r>
    </w:p>
    <w:p>
      <w:r>
        <w:t>En cas de litige portant sur la résiliation d'un bail, la valeur litigieuse se détermine selon le loyer dû pour la période durant laquelle le contrat subsiste nécessairement en supposant que l'on admette la contestation et qui s'étend jusqu'au moment pour lequel un nouveau congé aurait pu être donné ou l'a été effectivement. En principe, la durée déterminante pour le calcul de la valeur litigieuse ne saurait être inférieure à la période de trois ans pendant laquelle l'art. 271a al. 1 let. e CO consacre l'annulabilité d'une résiliation (ATF 144 III 346 consid. 1.2.2.3 ; ATF 137 III 389 consid. 1.1).</w:t>
      </w:r>
    </w:p>
    <w:p>
      <w:r>
        <w:rPr>
          <w:b/>
        </w:rPr>
        <w:t>E. 1.1.3</w:t>
      </w:r>
    </w:p>
    <w:p>
      <w:r>
        <w:t>Une fausse indication des voies de droit ne saurait créer une voie de droit inexistante. Dans certains cas, l'autorité incompétente peut en revanche devoir transmettre d'office le recours à l'autorité compétente (ATF 134 I 199 consid. 1.3.1 ; ATF 132 I 92 consid. 1.6 ; ATF 123 II 231 consid. 8b ; ATF 119 IV 330 consid. 1c). En principe, l’acte mal intitulé peut être traité comme l’écriture qui aurait dû être déposée pour autant qu’il contienne les éléments nécessaires de celle-ci. Ce principe, qui découle de la prohibition du formalisme excessif, s'applique ainsi de manière générale et donc également devant la deuxième instance cantonale (TF 5A_494/2015 du 18 janvier 2016 consid. 4.2.5). Cette condition est d'emblée réalisée en ce qui concerne un recours par rapport à un appel, étant donné les motifs recevables en appel (TF 5A_235/2023 du 19 avril 2023 consid. 2).</w:t>
      </w:r>
    </w:p>
    <w:p>
      <w:r>
        <w:rPr>
          <w:b/>
        </w:rPr>
        <w:t>E. 1.2</w:t>
      </w:r>
    </w:p>
    <w:p>
      <w:r>
        <w:t>Si une décision sur la capacité de postuler de l’avocat vise à garantir la bonne marche du procès et entre ainsi dans la catégorie des décisions relatives à la conduite du procès qui ne peuvent pas faire l’objet d’un appel (ATF 147 III 351 consid. 6.3 ; TF 5A_455/2022 du 9 novembre 2022 consid. 1.3.1.1 ; CREC 9 février 2022/21), il convient de constater qu’en l’espèce, la décision attaquée ne se limite pas à constater l’absence de la capacité de postuler du mandataire de l’intimée, mais lui impartit également un délai pour ratifier les actes accomplis. Susceptible de mettre fin au procès par un prononcé d’irrecevabilité – ce à quoi les appelants ont d’ailleurs conclu, également en première instance –, la décision attaquée doit être considérée comme une décision incidente au sens de l’art. 308 al. 1 let. a CPC. Au surplus, la valeur litigieuse excède manifestement 10'000 fr. au regard de la conclusion cumulative en annulation du congé (cf. consid. 1.1.1 ci-avant ; 5'500 fr. x 12 mois x 3 ans, soit 198'000 fr.) et en réduction du loyer pendant au moins deux ans (5'500 fr. x 30% x 12 mois x 2 ans, soit 39'600 fr.), de sorte qu’en dépit de son intitulé « recours », l’acte déposé doit être traité comme un appel. En outre, l'appel, dûment motivé, a été formé en temps utile par la partie bailleresse qui dispose d’un intérêt digne de protection (art. 59 al. 2 let. a CPC). Il est dès lors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w:t>
      </w:r>
    </w:p>
    <w:p>
      <w:r>
        <w:rPr>
          <w:b/>
        </w:rPr>
        <w:t>E. 3.1</w:t>
      </w:r>
    </w:p>
    <w:p>
      <w:r>
        <w:t>Les appelants soutiennent que le Tribunal des baux n’a pas été valablement saisi et aurait dû constater l’irrecevabilité de la demande. Selon eux, une telle décision ne violerait en effet pas le principe de l’interdiction du formalisme excessif et la ratification d’une opposition à une proposition de jugement serait de toute manière impossible une fois le délai de l’art. 144 al. 1 CPC échu. Ainsi, il faudrait selon eux constater qu’en l’absence d’opposition valable, la proposition de jugement devait être considérée comme acceptée et déployait les effets d’une décision en force au sens de l’art. 211 al. 1 CPC. Ils se réfèrent en particulier à l’ATF 122 IV 207 et à l’arrêt non publié du Tribunal fédéral 5A_179/2009 du 29 mai 2009.</w:t>
      </w:r>
    </w:p>
    <w:p>
      <w:r>
        <w:rPr>
          <w:b/>
        </w:rPr>
        <w:t>E. 3.2.1</w:t>
      </w:r>
    </w:p>
    <w:p>
      <w:r>
        <w:t>Selon l’art. 59 al. 1 CPC, le tribunal n’entre en matière que sur les demandes et les requêtes qui satisfont aux conditions de recevabilité, qui sont énumérées de façon non exhaustive à l’al. 2 de la même disposition. Il examine d’office si les conditions de recevabilité sont remplies (art. 60 CPC). Dans le cadre d'une procédure soumise au CPC, la capacité de postuler en général, soit la faculté d'accomplir des actes de procédure en la forme juridique pertinente, fait partie des conditions de recevabilité, au sens de l'art. 59 CPC, bien qu'elle ne soit pas mentionnée dans cette disposition (ATF 147 III 351 consid. 6.2.1 et 6.3; TF  5A_407/2021 du 6 mai 2022 consid. 1.2.1 ; TF 5A_536/2021 du 8 septembre 2021 consid. 4.1.2; 4A_87/2012 du 10 avril 2012 consid. 3.2). Ainsi, dans une procédure pendante, l'autorité qui doit statuer sur la capacité de postuler de l'avocat d'une partie est le tribunal compétent sur le fond de la cause ou, sur délégation, un membre de ce même Tribunal (ATF 147 III 351 consid. 6.3).</w:t>
      </w:r>
    </w:p>
    <w:p>
      <w:r>
        <w:rPr>
          <w:b/>
        </w:rPr>
        <w:t>E. 3.2.2</w:t>
      </w:r>
    </w:p>
    <w:p>
      <w:r>
        <w:t>Toute personne capable d’ester en justice peut se faire représenter au procès (art. 68 al. 1 CPC). Cette faculté est limitée en matière de choix d’un représentant professionnel par l’art. 68 al. 2 CPC, puisque ne peuvent être choisis que les avocats autorisés à pratiquer en vertu de la loi fédérale du 23 juin 2000 sur la libre circulation des avocats (let. a), ou les agents d’affaires brevetés devant l’autorité de conciliation dans les affaires patrimoniales soumises à la procédure simplifiée et dans celles soumises à la procédure sommaire, si le droit cantonal le prévoit (let. b), ou les représentants professionnels au sens de l’art. 27 LP (loi sur la poursuite pour dettes et la faillite du 11 avril 1889 ; RS 281.1), pour les affaires de LP soumises à la procédure sommaire (let. c) ou encore les mandataires professionnellement qualifiés devant les juridictions spéciales en matière de contrat de bail ou de contrat de travail si le droit cantonal le permet (let. d). Cette liste des représentants professionnels est exhaustive (CREC 19 janvier 2021/17 ; Staehelin/Schweizer, Kommentar zur Schweizerischen Zivilprozessordnung, Sutter-Somm/Hasenböhler/Leuenberger Hrsg, 3 e éd., 2016, n. 7 ad art. art. 68 CPC, p. 563). Cette disposition trouve sa justification dans le fait que le justiciable qui n'a pas de connaissances juridiques suffisantes doit s'en remettre entièrement à son mandataire, sans pouvoir véritablement le contrôler ; il y a donc un intérêt public certain à le protéger contre le risque de mandater une personne incompétente qui, notamment par des erreurs procédurales, pourrait le priver de la possibilité de faire valoir ses droits en justice (ATF 114 Ia 34 consid. 2c et ATF 105 Ia 72 consid. 5a).</w:t>
      </w:r>
    </w:p>
    <w:p>
      <w:r>
        <w:rPr>
          <w:b/>
        </w:rPr>
        <w:t>E. 3.2.3</w:t>
      </w:r>
    </w:p>
    <w:p>
      <w:r>
        <w:t>Se fondant sur sa pratique relative à l'art. 29 al. 2 aOJ (cf. ATF 107 IV 68 consid. 1 et 2 p. 69/70), le Tribunal fédéral a considéré dans un arrêt ancien qu'un recours déposé par une personne qui n'avait pas qualité pour représenter une partie n'était pas entaché d'un vice de forme susceptible d'être réparé après l'échéance du délai de recours, mais qu'il devait plutôt être considéré comme nul, de sorte que les tribunaux cantonaux étaient en principe libres, sous l'angle restreint de l'interdiction du formalisme excessif déduit de l'art. 4 Cst., de ne pas accorder au justiciable qui mandate une personne non habilitée à le représenter aux fins de déposer un recours un délai supplémentaire après l'expiration du délai de recours pour corriger le vice (Archives 55 p. 609 consid. 5c p. 616 et l'arrêt non publié du 26 mars 1981 dans la cause Keusch, cité aux Archives 53 p. 165 consid. 1c/aa p. 167). Sans remettre en cause cette jurisprudence – par ailleurs confirmée dans l’ATF 114 Ia 34 jugeant irrecevable un recours formé par une fiduciaire devant le Tribunal administratif bernois –, le Tribunal fédéral a toutefois admis qu’il n’était pas exclu qu'un tel délai soit imparti en présence de circonstances particulières (ATF 125 I 166 consid. 3d). Le Tribunal fédéral a ainsi vu une circonstance propre à renoncer à sanctionner le vice tenant à une représentation inadéquate du justiciable par l'irrecevabilité du recours dans le fait que le droit cantonal ne définissait pas clairement le cercle des personnes habilitées à représenter un contribuable en qualité de conseiller fiscal devant l'autorité cantonale de recours dans les litiges en matière fiscale; il a considéré que l'on ne pouvait raisonnablement contraindre le recourant à faire appel à un autre mandataire autorisé afin de parer au risque que les qualifications professionnelles requises soient déniées à son conseiller fiscal et que le recours soit déclaré irrecevable pour ce motif; si l'autorité cantonale de recours entendait limiter la représentation aux conseillers fiscaux «particulièrement qualifiés», elle devait alors impartir un bref délai au recourant pour choisir un représentant répondant à ces exigences (Archives 53 p. 165 consid. 1c/cc p. 168/169). De même, il a tenu pour choquant le refus d'entrer en matière sur un recours émanant d'un conseiller fiscal qui n'était pas titulaire du brevet d'avocat et qui s'était fié de bonne foi à une pratique constante des autorités fiscales et partagée par la doctrine dominante, selon laquelle les cantons n'étaient pas fondés à réserver aux avocats brevetés le droit de représenter le contribuable dans les procédures de recours relatives à l'impôt fédéral direct, dont il n'avait pas lieu de supputer la modification (Archives 55 p. 609 consid. 5d p. 616). Dans un arrêt non publié du 16 mai 1986 dans la cause T. contre Tribunal administratif du canton des Grisons, le Tribunal fédéral a encore vu un comportement contraire à la bonne foi dans le refus de l'autorité de recours de voir un mandataire qualifié en la personne d’un conseiller fiscal choisi par le contribuable alors que l'autorité de réclamation n'avait émis aucun doute sur la capacité à le représenter. Il en est allé de même dans un cas où une Commission cantonale de recours avait admis que les recourants soient représentés devant elle par un agent d'affaires breveté sans exiger de ce dernier qu'il fasse la preuve de ses connaissances particulières dans le domaine considéré, dans la mesure où la représentation des parties devant le Tribunal administratif était soumise aux mêmes conditions. Dans ces cas, l’irrecevabilité des recours consacrait ainsi un formalisme excessif qu'aucun intérêt ne justifiait, de sorte qu’un bref délai devait être imparti aux parties concernées afin qu'elles procèdent personnellement ou par l'intermédiaire d'un avocat ou d'un autre mandataire professionnellement qualifié (cf. TF 5A_536/2021 du 8 septembre 2021 consid. 4.1.2). Par la suite, le Tribunal fédéral ne semblait encore guère hésitant dans le fait qu’il faille impartir un délai à une partie pour qu'elle désigne un représentant satisfaisant aux conditions légales lorsqu’un agent d’affaires breveté avait continué, en violation de l’art. 68 CPC, à la représenter au-delà de la procédure de conciliation en matière de bail à loyer (TF 4A_87/2012 du 10 avril 2012 consid. 3.2.3 in Revue suisse de procédure civile [RSPC] 2012, p. 306 ; JdT 2012 III 230 consid. 3a/bb ; Staehelin/Schweizer, op. cit., nn. 25 et 26 ad art. 68 CPC). En cas de défaut de représentation en raison d'une incapacité de postuler causée par un conflit d'intérêts, le Tribunal fédéral a également admis, en procédure civile, qu'un délai devait être fixé à la partie concernée pour remédier à cette irrégularité (art. 132 CPC par analogie). Il a justifié sa décision par le fait que dans ce cas de figure, la partie représentée par l'avocat auquel la partie adverse reproche la violation de son devoir de fidélité peut se prévaloir elle-même d'être lésée et de n'avoir pas été valablement représentée, de sorte qu'il fallait laisser à cette partie la possibilité d'y remédier en lui fixant un délai pour qu'elle désigne un représentant satisfaisant aux conditions légales (ATF 147 III 351 consid. 6.2.1 et 6.3 ; TF 5A_536/2021 du 8 septembre 2021 consid. 4.1.2). Cela étant, il est également arrivé au Tribunal fédéral d’indiquer que le défaut de procuration valable en faveur de la personne qui représentait une partie n’était en principe qu’un vice formel qui pouvait être rectifié, soit spontanément soit sur injonction du juge, mais que tel n’était pas le cas lorsque le monopole de la représentation est réservé aux avocats admis à la pratique du barreau (TF 5D_142/2017 du 24 avril 2018 consid. 3.1, publ. in SJ 2018 I p. 394 s. ; cf. également TF 4A.2/2005 du 28 novembre 2005 consid. 2.2). Le Tribunal fédéral a toutefois exprimé ici ce principe en tant que généralité qui n’a pas fait l’objet d’une application concrète au cas d’espèce.</w:t>
      </w:r>
    </w:p>
    <w:p>
      <w:r>
        <w:rPr>
          <w:b/>
        </w:rPr>
        <w:t>E. 3.2.4</w:t>
      </w:r>
    </w:p>
    <w:p>
      <w:r>
        <w:t>Une éventuelle ratification rétroagit au moment auquel le représentant a agi (TF 5A_822/2014 du 4 mai 2015). Le Tribunal fédéral a ainsi admis, dans le cas d’une procuration qui ne mentionnait pas de pouvoirs pour engager une procédure, que la production en instance de recours d’une nouvelle procuration répondant aux exigences légales valait ratification des actes juridiques accomplis jusqu'alors par son mandataire devant les instances précédentes et rendait ainsi ses actes valables (TF 4A_73/2020 du 18 mai 2020 consid. 3.1.2 ; cf. également : CREC 20 août 2020/191, avec référence à Bohnet, Commentaire romand, CPC, Bâle 2019, 2 e éd., n. 82 ad art. 59 CPC).</w:t>
      </w:r>
    </w:p>
    <w:p>
      <w:r>
        <w:rPr>
          <w:b/>
        </w:rPr>
        <w:t>E. 3.3</w:t>
      </w:r>
    </w:p>
    <w:p>
      <w:r>
        <w:t>En l’espèce, en signant une procuration étendue aux « procédures de première instance fondées sur le droit du bail » en faveur d’un avocat faisant partie d’une étude d’avocats, l’intimée ne saurait se voir reprocher d’avoir cru que celui-ci était autorisé à la représenter en justice. Il faut ainsi admettre que des circonstances particulières – d’ailleurs admises largement par le Tribunal fédéral – justifiaient bien de lui impartir un délai pour ratifier les actes accomplis sans droit par son mandataire. Cela va d’ailleurs dans le sens du législateur, dont l’intention est bien de protéger le justiciable contre le risque d’être représenté par une personne incompétente. Le cas d’espèce peut d’ailleurs être assimilé à celui, cité plus haut, de l’agent d’affaire breveté qui avait outrepassé ses compétences procédurales en agissant au-delà de la procédure de conciliation en matière de bail à loyer (TF 4A_87/2012 cité ci-avant au consid. 3.2.3). Les graves conséquences d’une irrecevabilité de la demande en justice pour la partie qui a donné les pouvoirs à un avocat sans être à même de se rendre compte de son absence de capacité conduiraient ici à une violation de l’interdiction du formalisme excessif. Contrairement à ce que soutiennent les appelants, le fait d’avoir fait ratifier les actes de procédure par une associée de Me L.________ ne permet pas de retenir que l’intimée n’a pas été trompée par celui-ci. On relève en outre que l’arrêt TF 5A_179/2009 du 29 mai 2009 cité par les appelants ne leur est d’aucun secours dans la mesure où la question de savoir s’il convenait d’impartir un délai pour rectifier une procuration signée par un personne qui n’était pas autorisée à représenter le recourant en justice a été laissée ouverte par le Tribunal fédéral, qui n’est pas entré en matière sur le recours pour un autre motif. L’appelant se fonde encore à tort sur l’ATF 122 IV 207 (consid. 3c), qui retient que lorsqu’une plainte pénale est déposée par un représentant sans pouvoir, la ratification de la plainte doit avoir lieu dans le délai de trois mois prévu à l’art. 31 du Code pénal, l’exercice du droit de porter plainte nécessitant que le lésé manifeste sa volonté de déposer une plainte pénale dans ce délai. Rendu dans un cadre légal différent, cet arrêt ne saurait en effet être appliqué par analogie ici, le Tribunal fédéral ayant justifié ce formalisme par la nature strictement personnelle du droit de déposer plainte. Enfin, il faut admettre que la ratification a bien un effet rétroactif à tous les actes accomplis par L.________, peu importe que ceux-ci aient été accomplis devant des instances inférieures, la jurisprudence étant claire à cet égard (cf. consid. 3.2.4 ci-avant).</w:t>
      </w:r>
    </w:p>
    <w:p>
      <w:r>
        <w:rPr>
          <w:b/>
        </w:rPr>
        <w:t>E. 4.1</w:t>
      </w:r>
    </w:p>
    <w:p>
      <w:r>
        <w:t>A titre subsidiaire, les appelants invoquent que la ratification intervenue ne serait pas valable, car elle violerait le principe d’indépendance de l’avocat.</w:t>
      </w:r>
    </w:p>
    <w:p>
      <w:r>
        <w:rPr>
          <w:b/>
        </w:rPr>
        <w:t>E. 4.2</w:t>
      </w:r>
    </w:p>
    <w:p>
      <w:r>
        <w:t>La LLCA (loi fédérale du 23 juin 2000 sur la libre circulation des avocats ; RS 935.61) fixe les principes applicables à l'exercice de la profession d'avocat en Suisse (art. 1 LLCA) et, en particulier, les règles professionnelles auxquelles l'avocat est soumis (art. 12 LLCA). L'art. 12 LLCA dispose notamment que l'avocat exerce sa profession avec soin et diligence (lettre a), qu'il exerce son activité professionnelle en toute indépendance, en son nom personnel et sous sa propre responsabilité (lettre b) et qu’il évite tout conflit entre les intérêts de son client et ceux des personnes avec lesquelles il est en relation sur le plan professionnel ou privé (let. c). Outre une indépendance institutionnelle, l’avocat se doit de maintenir une indépendance personnelle dans l’exercice de sa profession, afin de s’assurer de la plus grande liberté et objectivité possible dans la défense des intérêts dont il a la charge afin d’éviter tout conflit, cette indépendance s’entendant non seulement à l’égard de son client, mais à toute influence extérieure, car elle constitue la condition pour la confiance en l’avocat et en la justice (ATF 138 II 440 consid. 3, JdT 2013 I 135). Le devoir d’indépendance interdit à l’avocat de contracter des liens qui l’entraveront dans la défense des intérêts de ses clients. Il doit en conséquence éviter toute dépendance, notamment économique, envers les autorités étatiques, les tiers ou ses clients, devant pouvoir représenter les intérêts de ceux-ci sans la moindre restriction, d’un point de vue objectif sans égard à des liens personnels ou économiques (idem, consid. 5). C’est ainsi essentiellement dans le but d’éviter tout risque de conflit d’intérêts que l’indépendance de l’avocat pourra être examinée dans toutes ses composantes personnelles et matérielles tant sur le plan des modalités d’exercice de la profession qu’à l’égard du client, de tiers, en particulier les autorités, les médias et, d’une façon plus générale, au regard de toute forme d’influence extérieure qui pourrait – même inconsciemment – porter atteinte à son devoir de défendre fidèlement et sans compromission les intérêts qui lui sont confiés (Valticos, Commentaire Romand, Loi sur les avocats, 2 e éd., 2022, N. 77 ad art. 12 LLCA et la réf. citée). L'exclusion de l'avocat des débats relève du contrôle de la capacité de postuler de celui-ci, soit d'une question de procédure, de sorte qu’elle relève de la compétence du juge du fond de la cause (ATF 147 III 351 consid. 6.3).</w:t>
      </w:r>
    </w:p>
    <w:p>
      <w:r>
        <w:rPr>
          <w:b/>
        </w:rPr>
        <w:t>E. 4.3</w:t>
      </w:r>
    </w:p>
    <w:p>
      <w:r>
        <w:t>En l’espèce, le grief des appelants est lié au fait que la nouvelle avocate de l’intimée est associée à L.________. On ne voit toutefois pas quelle influence extérieure pourrait porter atteinte au devoir de Me [...] de défendre fidèlement les intérêts de sa cliente. En l’absence d’une violation du principe de l’indépendance de l’avocat, aucun motif ne justifie ici d’interdire à cette avocate dûment inscrite au registre des avocats de postuler dans la présente cause.</w:t>
      </w:r>
    </w:p>
    <w:p>
      <w:r>
        <w:rPr>
          <w:b/>
        </w:rPr>
        <w:t>E. 5.1</w:t>
      </w:r>
    </w:p>
    <w:p>
      <w:r>
        <w:t>Au vu de ce qui précède, l’appel doit être rejeté et la décision confirmée.</w:t>
      </w:r>
    </w:p>
    <w:p>
      <w:r>
        <w:rPr>
          <w:b/>
        </w:rPr>
        <w:t>E. 5.2</w:t>
      </w:r>
    </w:p>
    <w:p>
      <w:r>
        <w:t>Les frais judiciaires de deuxième instance, arrêtés à 1'600 fr. (art. 62 al. 1 et 66 TFJC [tarif des frais judiciaires civils du 28 septembre 2010 ; BLV 270.11.5]), seront mis à la charge des appelants, qui succombent (art. 106 al. 1 CPC).</w:t>
      </w:r>
    </w:p>
    <w:p>
      <w:r>
        <w:rPr>
          <w:b/>
        </w:rPr>
        <w:t>E. 5.3</w:t>
      </w:r>
    </w:p>
    <w:p>
      <w:r>
        <w:t>Vu le sort de l’appel, les appelants verseront à l’intimée des dépens de deuxième instance, qu’il convient de fixer à 2'300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