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758 vom 28. November 2023</w:t>
      </w:r>
    </w:p>
    <w:p>
      <w:r>
        <w:t>VD Tribunal cantonal, 2023-11-28, FR</w:t>
      </w:r>
    </w:p>
    <w:p>
      <w:r>
        <w:rPr>
          <w:b/>
        </w:rPr>
        <w:t xml:space="preserve">Quelle: </w:t>
      </w:r>
      <w:r>
        <w:t>https://mcp.opencaselaw.ch/entscheid/vd_findinfo_HC___2023___758</w:t>
      </w:r>
    </w:p>
    <w:p>
      <w:r>
        <w:t>FR: VD_FINDINFO HC / 2023 / 758 du 28 novembre 2023</w:t>
      </w:r>
    </w:p>
    <w:p>
      <w:r>
        <w:t>IT: VD_FINDINFO HC / 2023 / 758 del 28 novembre 2023</w:t>
      </w:r>
    </w:p>
    <w:p>
      <w:pPr>
        <w:pStyle w:val="Heading2"/>
      </w:pPr>
      <w:r>
        <w:t>Regeste</w:t>
      </w:r>
    </w:p>
    <w:p>
      <w:r>
        <w:t>MESURE DE PROTECTION, PROTECTION DE L'ENFANT, CURATELLE, OBLIGATION D'ENTRETIEN, RELATIONS PERSONNELLES, RÉPARTITION DES FRAIS, DÉNUEMENT | 276 CC, 308 al. 2 CC, 22 LProMin, 38 LVPAE</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comme juge unique (art. 84 al. 2 LOJV [loi d’organisation judiciaire du 12 décembre 1989 ; BLV 173.01]) qui peut, en application de l’art. 316 al. 2 CPC, ordonner un second échange d’écritures.</w:t>
      </w:r>
    </w:p>
    <w:p>
      <w:r>
        <w:rPr>
          <w:b/>
        </w:rPr>
        <w:t>E. 1.2</w:t>
      </w:r>
    </w:p>
    <w:p>
      <w:r>
        <w:t>En l'espèce, formé en temps utile par une partie qui y a un intérêt digne de protection (art. 59 al. 2 let. a CPC) contre une ordonnance de mesures provisionnelles et portant sur des conclusions non patrimoniales, l’appel, écrit et motivé (art. 311 al. 1 CPC), est recevable. De même, le sont les réponses déposées dans les délais impartis, ainsi que les répliques et dupliques, puis les déterminations, vu la maxime inquisitoire illimitée applicable (cf. infra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Elle a également la liberté d’admettre (ou de rejeter) l’appel en s’appuyant sur un argument non explicitement discuté par les parties (TF 4A_313/2019 du 19 mars 2020 consid. 3).</w:t>
      </w:r>
    </w:p>
    <w:p>
      <w:r>
        <w:rPr>
          <w:b/>
        </w:rPr>
        <w:t>E. 2.2</w:t>
      </w:r>
    </w:p>
    <w:p>
      <w:r>
        <w:t>L'art. 296 al. 1 CPC prévoit la maxime inquisitoire illimitée en ce qui concerne les questions relatives aux enfants (TF 5A_245/2019 du 1 er juillet 2019 consid. 3.2.1 et les réf. citées), ainsi que la maxime d'office (art. 296 al.</w:t>
      </w:r>
    </w:p>
    <w:p>
      <w:r>
        <w:rPr>
          <w:b/>
        </w:rPr>
        <w:t>E. 2.3</w:t>
      </w:r>
    </w:p>
    <w:p>
      <w:r>
        <w:t>et 4.2, JdT 2014 II 369 ; TF 5A_415/2020 consid. 6.1 et les références citées). La mesure de protection prévue à l'art. 308 al. 2 CC a pour but de faciliter, malgré les tensions existantes entre les père et mère, le contact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lieux et moments précis auxquels l'enfant doit être remis à l'autre parent et où il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Droit de la filiation, 6 e éd., Genève/Zurich/Bâle 2019, n. 1018, pp. 668-669, et n. 1730, pp. 1125-1126, et les références jurisprudentielles citées ; également TF 5A_415/2020 consid. 6.3 ; TF 5A_983/2019 du 13 novembre 2020 consid. 9.1).</w:t>
      </w:r>
    </w:p>
    <w:p>
      <w:r>
        <w:rPr>
          <w:b/>
        </w:rPr>
        <w:t>E. 2.3.1</w:t>
      </w:r>
    </w:p>
    <w:p>
      <w:r>
        <w:t>Lorsque le procès est soumis à la maxime inquisitoire illimitée (art. 296 al. 1 CPC), il n’est pas justifié d’appliquer strictement l'art. 317 al. 1 CPC concernant les faits et moyens de preuve nouveaux.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2.3.2</w:t>
      </w:r>
    </w:p>
    <w:p>
      <w:r>
        <w:t>En l’occurrence, les pièces produites par les parties figuraient déjà au dossier de première instance et sont donc recevables. Quant aux mesures d’instructions requises par l’appelant, soit la réactualisation de l’expertise familiale pédopsychiatrique du 15 juin 2021 et la mise en œuvre d’une expertise psychiatrique de la mère, elles ne s’avèrent pas déterminantes dans la présente procédure d’appel, compte tenu de ce qui suit. Par conséquent, la décision de la juge de céans du 8 septembre 2023 doit être maintenue.</w:t>
      </w:r>
    </w:p>
    <w:p>
      <w:r>
        <w:rPr>
          <w:b/>
        </w:rPr>
        <w:t>E. 3</w:t>
      </w:r>
    </w:p>
    <w:p>
      <w:r>
        <w:t>CPC). En l’espèce, ces maximes sont applicables.</w:t>
      </w:r>
    </w:p>
    <w:p>
      <w:r>
        <w:rPr>
          <w:b/>
        </w:rPr>
        <w:t>E. 3.1</w:t>
      </w:r>
    </w:p>
    <w:p>
      <w:r>
        <w:t>L’appelant fait valoir que sa requête devant le premier juge tendant à ce que M.________ soit désignée en qualité de curatrice de surveillance des relations personnelles au sens de l’art. 308 al. 2 CC – avec pour mission de travailler la reprise du lien père-fille et d’organiser la reprise du droit de visite entre le père et la fille de manière médiatisée – avait été motivée, certes, par des difficultés financières, mais surtout par le fait que cette mesure représentait l’ultime espoir de recréer des liens avec sa fille qu’il n’a plus vue depuis un an, toutes les autres mesures s’étant révélées inefficaces. Selon l’appelant, le refus du premier juge violerait les art. 273 et 308 al. 2 CC, les art. 21 et 22 LVPAE, les art. 8 CEDH et 9 de la Convention relative aux droits de l’enfant. L’intimée estime que la désignation de M.________ en qualité de curatrice de surveillance des relations personnelles au sens de l’art. 308 al. 2 CC n’apparaît pas appropriée, vu le caractère prématuré de la perspective de réunir père et fille, cette dernière ne s’estimant pas prête pour un travail de rapprochement. L’intimée prétend que l’appréciation de la situation par la médiatrice serait simpliste. Pour sa part, la curatrice de représentation a relevé l’échec des mesures entreprises par la DGEJ, malgré son investissement considérable, cette dernière ayant proposé l’intervention d’un tiers et n’étant plus à même de conserver le mandat. La curatrice estime ainsi la désignation de M.________ opportune, compte tenu de son profil professionnel. Cette médiatrice pourrait effectuer un travail préalable de reprise du lien nécessaire à l’organisation effective du droit de visite, soit recréer le lien entre l’enfant et son père de manière médiatisée auparavant, pour reprendre par la suite l’exercice régulier du droit de visite. Sous un angle financier, la curatrice estime que l’intervention telle que proposée par M.________ rentrerait dans la définition des mesures accomplies par la DGEJ ou un curateur-avocat et pourrait être prise en charge par l’assistance judiciaire des parties. Elle fait valoir que compte tenu de l’expérience de M.________ et du coût de ses prestations, inférieur à celui d’autres organismes privés qu’elle évalue dans une fourchette de 180 à 220 fr. de l’heure et, de surcroît, auprès desquels les délais d’attente sont longs, sa désignation serait pertinente et serait l’ultime mesure à prendre pour recréer un lien entre l’enfant et son père. Quant à la DGEJ, elle a conclu que la situation était dans une impasse, la mineure, âgée de plus de 12 ans, refusant actuellement de voir son père. Les mesures qu’elle avait prises jusqu’à ce jour n’avaient pas permis de remédier à la situation. De l’avis de l’ensemble des intervenants, seul un travail spécifique entre l’enfant et son père, sous la forme d’une médiation, pouvait encore permettre une reprise du lien entre ces derniers, ce qui n’entrait pas dans le champ d’intervention de la DGEJ. Dans ces circonstances, un mandat de curatelle de surveillance des relations personnelles au sens de l’art. 308 al. 2 CC, qui lui serait confié, ne répondrait pas aux besoins de la situation. A cet égard, la DGEJ a fait valoir que le mandat qui lui avait été confié pour une année par ordonnance du 15 novembre 2021 était devenu caduc, dès lors que son renouvellement n’avait pas été requis à la suite du dépôt du bilan annuel du 23 novembre 2022, vu le constat d’échec (cf. art. 23 al. 4 RLProMin). Dès lors, un suivi par M.________ lui paraissait, en l’espèce, être l’ultime démarche utile, si l’on souhaitait s’appuyer sur une aide autre que celle qui pouvait être apportée à Q.________ dans le cadre d’un suivi thérapeutique individuel. Dans son courrier du 13 août 2023, M.________ a précisé ses tarifs horaires, soit 140 fr. pour des entretiens individuels et 100 fr. pour des visites médiatisées. Elle a aussi expliqué sa manière de procéder en qualité de médiatrice pour que le parent et l’enfant retrouvent un lien de confiance, nécessaire à l’exercice du droit de visite. Estimant que les enfants ne pouvaient pas recréer un lien avec le parent qu’ils avaient souvent perdu de vue depuis plusieurs mois en s’asseyant autour d’une table, dans un bureau, elle proposait que la reprise du lien entre parent et enfant se déroule par le biais de diverses activités choisies par les deux intéressés, dont elle a détaillé des exemples.</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(ATF 142 III 617 consid. 3.2.3). Le droit aux relations personnelles constitue non seulement un droit, mais également un devoir des parents, et également un droit de la personnalité de l'enfant ; il doit servir en premier lieu l'intérêt de celui-ci (TF 5A_498/2019 du 6 novembre 2019 consid. 4.2 ; TF 5A_334/2018 du 7 août 2018 consid. 3.1 ; TF 5A_184/2017 du 9 juin 2017 consid. 4. ; TF 5A_53/2017 du 23 mars 2017 consid. 5.1). Le rapport de l'enfant avec ses deux parents étant essentiel, le critère déterminant pour l'octroi, le refus et la fixation des modalités du droit de visite est le bien de l'enfant, l'intérêt des père et mère étant relégué à l'arrière-plan (Meier/Stettler, Droit de la filiation, 6 e éd., Genève/Zurich/Bâle 2019, nn. 963 ss, pp. 615 ss).</w:t>
      </w:r>
    </w:p>
    <w:p>
      <w:r>
        <w:rPr>
          <w:b/>
        </w:rPr>
        <w:t>E. 3.2.2.1</w:t>
      </w:r>
    </w:p>
    <w:p>
      <w:r>
        <w:t>Selon l'art. 308 CC, lorsque les circonstances l'exigent – notamment le manque de respect du droit précité aux relations personnelles entre un enfant et un parent,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Puis, conformément au principe de subsidiarité, ce danger ne doit pas pouvoir être prévenu par les père et mère eux-mêmes, ni par les mesures plus limitées de l'art. 307 CC. Enfin, selon le principe de l'adéquation, l'intervention active d'un conseiller doit apparaître appropriée pour atteindre ce but (ATF 140 III 241 consid. 2.1, JdT 2014 II 369 et les arrêts cités ; Meier, RMA 2014, p. 317). Le principe de la proportionnalité est la pierre angulaire du système de protection civile de l'enfant, la mesure ordonnée devant notamment être apte à atteindre le but de protection visé et nécessaire à cette fin (TF 5A_415/2020 du 18 mars 2021 consid. 6.1 et les références citées ; 5A_983/2019 du 13 novembre 2020 consid. 9.1).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w:t>
      </w:r>
    </w:p>
    <w:p>
      <w:r>
        <w:rPr>
          <w:b/>
        </w:rPr>
        <w:t>E. 3.2.2.2</w:t>
      </w:r>
    </w:p>
    <w:p>
      <w:r>
        <w:t>Concernant la curatelle de surveillance des relations personnelles, l’art. 22 al. 1 LProMin (loi sur la protection des mineurs du 4 mai 2004 ; BLV 850.41) prévoit que sur proposition du service, l'autorité judiciaire ou l'autorité de protection de l'enfant désigne nommément le collaborateur de référence chargé d'un mandat de curatelle, de durée limitée, pour la surveillance des relations personnelles, en application de l'article 308, al.  2 CC. Selon l’art. 23 al. 1 RLProMin (règlement d’application de la loi du 4 mai 2004 sur la protection des mineurs du 5 avril 2017 ; BLV 850.41.1), le collaborateur du service de référence désigné a pour tâche d’aider les parents à organiser et planifier l’exercice du droit de visite. Selon l’art. 23 al. 4 RLProMin, le mandat n’excède pas une année, sous réserve d’une demande exceptionnelle et après évaluation des circonstances particulières du service qui propose de le prolonger.</w:t>
      </w:r>
    </w:p>
    <w:p>
      <w:r>
        <w:rPr>
          <w:b/>
        </w:rPr>
        <w:t>E. 3.2.3.1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liés à une mesure de protection de l’enfant au sens de l’art. 308 al. 2 CC sont en principe mis à la charge des parents, car ils entrent dans l’obligation générale d’entretien prévue par l’art. 276 al. 2 CC (ATF 141 III 401 consid. 4, JdT 2015 II 422 ; ATF 110 II 8 consid. 2b ; Guide pratique COPMA 2017, n. 1.102, p. 29 et n. 6.52, p. 208 ; Meier/Stettler, op. cit. , n. 1370, pp. 899 et 900). Les frais découlant d’une telle mesure prise par l’autorité de protection se distinguent des frais judiciaires liés à la procédure, lesquels sont régis par les art. 95 ss CPC (CCUR du 13 novembre 2023/224 consid. 3.2.1 et 3.2.2 ; Meier/Stettler, op. cit. , note de bas de page 3190, p. 900 ; Piotet, Commentaire de droit romand, Code civil I, Bâle 2010, note de bas de page n. 67, p. 1747). Certains éléments d’opportunité doivent toutefois permettre de pondérer l’application des principes résultant de l’art. 276 CC, comme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JdT 2003 III 40 consid. 5a et les références citées). Un soutien étatique n’est nécessaire que lorsqu’aucun des parents n’est en mesure d’assurer l’entretien convenable de l’enfant. Dans tous les cas, le parent tenu à l’entretien doit conserver son minimum vital (ATF 141 III 401 consid. 4.1, JdT 2015 II 422).</w:t>
      </w:r>
    </w:p>
    <w:p>
      <w:r>
        <w:rPr>
          <w:b/>
        </w:rPr>
        <w:t>E. 3.2.3.2</w:t>
      </w:r>
    </w:p>
    <w:p>
      <w:r>
        <w:t>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L’art. 22 al. 3 LProMin prévoit que les frais découlant d’une mesure de curatelle pour la surveillance des relations personnelles au sens de l’art. 308 al. 2 CC, telle que décrite à l’alinéa 1 de l’art. 22 LProMin, sont en principe mis à la charge des parents. Selon l’art. 25c al. 2 RLProMin, l’autorité judiciaire ou l’autorité de protection de l’enfant fixe la répartition du paiement de l’émolument entre les parents. Selon l’art. 4 al. 2 RCur, est réputée indigente toute personne concernée dont la fortune nette est inférieure à 5'000 francs, notion également reprise par la Circulaire du Tribunal n° 46 du 17 mai 2021 (ci-après : Circulaire TC n° 46). Une certaine souplesse doit toutefois être envisagée selon les situations (CCUR 24 février 2021/50 consid. 2.3 ; CCUR 28 juillet 2020/154 ; CCUR 13 septembre 2019/163).</w:t>
      </w:r>
    </w:p>
    <w:p>
      <w:r>
        <w:rPr>
          <w:b/>
        </w:rPr>
        <w:t>E. 3.3.1</w:t>
      </w:r>
    </w:p>
    <w:p>
      <w:r>
        <w:t>En l’espèce, il existe une situation d’échec dans la reprise du lien personnel entre l’appelant et sa fille, malgré toutes les mesures déployées à cet effet, comme le constatent la DGEJ dans ses déterminations du 28 août 2023 et la curatrice de surveillance, Z.________, travaillant au sein de l’ORPM du Nord, dans son rapport du 7 septembre 2022 et celui annuel du 23 novembre 2022. L’enfant ne veut pas voir son père, qui n’a pas vu sa fille depuis un an déjà, ce qui est préjudiciable à l’intérêt et au bon développement de l’enfant et ce qui est contraire à l’art. 273 al. 1 CC (cf. supra consid. 3.2.1). On constate, au vu des rapports précités, que l’ORPM du Nord n’a plus les moyens d’assumer la mission qui lui avait été confiée en vertu de l’art. 308 al. 2 CC, dès lors qu’il ne peut offrir un accompagnement de la reprise des contacts entre l’appelant et sa fille par une médiation, soit une mesure qui s’avère un préalable indispensable à la reprise du lien personnel entre le père et l’enfant, pour que le droit de visite du père puisse ensuite être concrètement exercé. C’est pour cette raison que la curatrice de surveillance, Z.________, a proposé l’intervention d’un collaborateur extérieur au service, soit celle de M.________ à l’audience du 2 mars 2023, ce qui a été accepté par les parents. Au vu des explications données par la médiatrice dans son courrier du 13 août 2023, on constate que sa manière de procéder diffère effectivement de celle d’un curateur travaillant au sein de la DGEJ et exerçant sa tâche conformément à l’art. 23 al. 1 RLProMin, puisqu’elle propose non seulement des entretiens individuels axés essentiellement sur la reprise du lien père-fille lors desquels l’enfant apprend à exprimer son ressenti, mais aussi des visites médiatisées comprenant des activités destinées à faciliter la reprise des échanges entre le parent et l’enfant et ainsi encourager l’expression du ressenti de chacun et la reprise du lien entre eux. Or, en l’occurrence, un tel accompagnement n’a pas encore été entrepris et le suivi thérapeutique individuel auprès de la Dre [...] n’apparaît pas, à ce jour, une mesure suffisante et satisfaisante, puisque l’enfant Q.________ ne voit toujours pas son père. Comme le font valoir la curatrice de représentation de l’enfant, la DGEJ et la curatrice de surveillance Z.________, la désignation de M.________, en lieu et place de cette dernière, s’avère être l’ultime mesure appropriée pour tenter de recréer le lien entre l’appelant et sa fille. La désignation de M.________ en qualité de curatrice de surveillance des relations personnelles paraît d’autant plus s’imposer au vu des conclusions de l’expertise familiale pédopsychiatrique du 15 juin 2021. Selon ces conclusions, rendues depuis plus de deux ans déjà, si le droit de visite du père ne devait pas être exercé ni respecté, un placement en foyer temporaire de l’enfant pourrait en effet être envisagé. La désignation de M.________ se justifie d’autant plus dans le cadre de la mesure de protection de l’art. 308 al. 2 CC qu’aucune base légale ne s’oppose à la désignation d’un tiers privé autre qu’un assistant social collaborateur au sein de la DGEJ ou d’un avocat, en qualité de curateur de surveillance des relations personnelles entre un parent et son enfant (cf. art. 40 et 42 LVPAE [loi d’application du droit fédéral de la protection de l’adulte et de l’enfant du 29 mai 2012 ; BLV 211.255]). D’ailleurs, parmi les mesures de protection à mettre en place en faveur des mineurs, il peut être fait appel non seulement aux prestations des commissions ou organismes désignés ou reconnus par la Confédération ou l'Etat de Vaud, sur un plan cantonal ou régional (art. 7 al. 1 let. f LProMin par analogie), mais aussi à celles d’autres organismes publics ou privés (art. 7 al. 2 LProMin par analogie). Par conséquent, dans l’intérêt de l’enfant et afin d’éviter une éventuelle mesure plus incisive, il se justifie pleinement, malgré le refus de l’intimée, de désigner M.________ en qualité de curatrice de surveillance des relations personnelles au sens de l’art. 308 al. 2 CC en faveur de l’enfant Q.________, en lieu et place d’Z.________ – qui n’a d’ailleurs pas sollicité le renouvellement du mandat confié à la DGEJ selon l’art. 23 al. 4 RLPoMin – avec pour mission de travailler la reprise du lien père-fille entre l’appelant et l’enfant, et d’organiser la reprise du droit de visite entre ces derniers de manière médiatisée. La DGEJ sera par ailleurs formellement relevée – d’office – du mandat correspondant. Au demeurant, la désignation de M.________ en qualité de curatrice n’a pas d’incidence sur les chiffres II et III de la convention signée par les parties le 2 mars 2023 et ratifiée pour valoir ordonnance de mesures provisionnelles.</w:t>
      </w:r>
    </w:p>
    <w:p>
      <w:r>
        <w:rPr>
          <w:b/>
        </w:rPr>
        <w:t>E. 3.3.2</w:t>
      </w:r>
    </w:p>
    <w:p>
      <w:r>
        <w:t>Quant au financement de cette mesure de protection au sens de l’art. 308 al. 2 CC, il est principalement supporté par les parents en application des dispositions légales susmentionnées (cf. supra consid. 3.2.3), et peut l’être subsidiairement par l’Etat, lorsque ces derniers sont indigents.</w:t>
      </w:r>
    </w:p>
    <w:p>
      <w:r>
        <w:rPr>
          <w:b/>
        </w:rPr>
        <w:t>E. 3.3.2.1</w:t>
      </w:r>
    </w:p>
    <w:p>
      <w:r>
        <w:t>En principe, si l’institution d’une mesure est justifiée, ce qui est le cas en l’espèce, on considère que le coût de cette mesure ne saurait empêcher son institution (CCUR du 22 août 2022/144 consid. 4.3.3 1 er § in fine ). Aussi, en l’occurrence, le coût total de la mesure n’est pas totalement imprévisible. D’une part, M.________ a indiqué des tarifs horaires de 140 fr. pour les entretiens individuels et 100 fr. pour les visites médiatisées, lesquels paraissent au demeurant raisonnables au vu des tarifs horaires moyens généralement pratiqués de 140 fr. à 200 fr. par des psychologues et psychiatres (cf. Fédération suisse des psychologues, FSP, https://www.psychologie.ch), voire de 150 fr. à 300 fr. par des médiateurs (cf. Fédération suisse de médiation, FSM, https://www.mediation-ch.org). D’autre part, elle a relevé que le coût total dépendait du temps nécessaire à l’enfant Q.________ pour reprendre confiance en présence de son père et a estimé que les visites médiatisées ne devraient pas durer plusieurs mois, dans la mesure où cette situation ne présentait pas de maltraitance. Ainsi, compte tenu de cette appréciation, il apparaît adéquat et justifié de désigner M.________ pour une durée limitée d’une année (cf. art. 22 al. 1 LProMin par analogie) à compter du 1 er décembre 2023. Au cours de cette année, elle pourra organiser en sa qualité de médiatrice 17 à 24 séances à titre d’entretiens individuels et/ou de visites médiatisées, selon une fréquence qu’elle estimera la plus appropriée pour rétablir le lien entre l’appelant et sa fille et organiser l’exercice du droit de visite, le montant des prestations pour une année ne devant pas excéder 2'400 fr. (17 x 140 fr. = 2380 fr. et 24 x 100 fr. = 2'400 fr.).</w:t>
      </w:r>
    </w:p>
    <w:p>
      <w:r>
        <w:rPr>
          <w:b/>
        </w:rPr>
        <w:t>E. 3.3.2.2</w:t>
      </w:r>
    </w:p>
    <w:p>
      <w:r>
        <w:t>Quant à la prise en charge du coût de cette mesure de protection, elle incombe en principe aux parents, dont la situation financière a une incidence seulement en cas d’indigence de leur part au sens de l’art. 4 al. 2 RCur et de la Directive TC n° 46. Si les deux parents sont considérés comme indigents, les coûts liés à la curatelle de surveillance des relations personnelles peuvent être supportés par l’Etat (cf. supra consid. 3.2.3). A ce stade, il faut constater que les frais liés à la mesure de curatelle de surveillance des relations personnelles au sens de l’art. 308 al. 2 CC, prononcée en la personne de M.________, seront en principe mis à la charge des deux parents en application de l’art. 276 al. 1 CC, respectivement à la charge de l’Etat si les parents sont considérés comme indigents en application de l’art. 38 LVPAE et 4 al. 2 RCur. Cependant, la fixation des frais engendrés par la mesure et leur répartition entre les parents doit encore faire l’objet d’une décision, sur laquelle l’autorité de première instance ne s’est pas encore prononcée. C’est au cours de la procédure d’instruction de cette décision que les parties pourront faire valoir le mode de répartition de ces frais entre elles et, le cas échéant, leur indigence. A toutes fins utiles, on relève, d’ores et déjà, à l’attention des parties que seule l’indigence de l’une des parties justifierait que le coût de la mesure soit laissé à la charge de l’Etat, non le fait que cette mesure soit ordonnée judiciairement.</w:t>
      </w:r>
    </w:p>
    <w:p>
      <w:r>
        <w:rPr>
          <w:b/>
        </w:rPr>
        <w:t>E. 4.1</w:t>
      </w:r>
    </w:p>
    <w:p>
      <w:r>
        <w:t>Au vu de ce qui précède, l’appel doit être admis, sans qu’il soit nécessaire d’examiner les autres griefs soulevés par l’appelant (cf. supra consid. 3.1 in fine ). L’ordonnance querellée doit être réformée au chiffre I de son dispositif en ce sens que la requête du 16 mai 2023 de W.________ tendant à la nomination de M.________ en qualité de curatrice de surveillance des relations personnelles au sens de l’art. 308 al. 2 CC est admise, M.________ étant désignée curatrice de surveillance des relations personnelles au sens de l’art. 308 al. 2 CC en faveur de l’enfant Q.________, pour une durée limitée d’une année à compter du 1 er décembre 2023, avec pour mission de travailler la reprise du lien entre le père et la fille, puis du droit de visite entre le père et l’enfant de manière médiatisée, par le biais de 17 à 24 séances d’entretiens individuels et/ou de visites médiatisées selon une fréquence qu’elle estimera la plus appropriée et dont le coût total sera de 2'400 fr. au maximum, les frais étant mis à la charge des deux parents, sous réserve de la décision à intervenir concernant leur répartition entre ces derniers, respectivement à la charge de l’Etat si les deux parents sont considérés comme indigents. L’ordonnance est confirmée pour le surplus.</w:t>
      </w:r>
    </w:p>
    <w:p>
      <w:r>
        <w:rPr>
          <w:b/>
        </w:rPr>
        <w:t>E. 4.2.1</w:t>
      </w:r>
    </w:p>
    <w:p>
      <w:r>
        <w:t>Conformément aux chiffres II et III de l’ordonnance querellée, les frais judiciaires et dépens de première instance suivent le sort de la cause.</w:t>
      </w:r>
    </w:p>
    <w:p>
      <w:r>
        <w:rPr>
          <w:b/>
        </w:rPr>
        <w:t>E. 4.2.2</w:t>
      </w:r>
    </w:p>
    <w:p>
      <w:r>
        <w:t>Les frais judiciaires de deuxième instance, arrêtés à 600 fr. (art. 65 al. 2 TFJC [tarif des frais judiciaires civils du 28 septembre 2010 ; BLV 270.11.5]), seront mis à la charge de l’intimée, mais laissés provisoirement à la charge de l’Etat, cette dernière bénéficiant de l’assistance judiciaire (cf. supra let. B et infra consid. 5.3). La partie au bénéfice de l’assistance judiciaire qui succombe n’étant pas dispensée du versement des dépens à la partie adverse (art. 122 al. 1 let. d CPC), l’intimée versera compte tenu de l’issue de l’appel la somme de 2'625 fr. [7h30 x 350 fr., tarif horaire de l’avocat] à l’appelant à titre de dépens de deuxième instance (cf. supra let. B in fine et infra consid. 5.2).</w:t>
      </w:r>
    </w:p>
    <w:p>
      <w:r>
        <w:rPr>
          <w:b/>
        </w:rPr>
        <w:t>E. 5.1.1</w:t>
      </w:r>
    </w:p>
    <w:p>
      <w:r>
        <w:t>L’assistance judiciaire doit faire l’objet d’une nouvelle requête en deuxième instance (art. 119 al. 5 CPC [Code de procédure civile du 19 décembre 2008 ; RS 220]).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w:t>
      </w:r>
    </w:p>
    <w:p>
      <w:r>
        <w:rPr>
          <w:b/>
        </w:rPr>
        <w:t>E. 5.1.2</w:t>
      </w:r>
    </w:p>
    <w:p>
      <w:r>
        <w:t>Une personne est indigente lorsqu'elle n'est pas en mesure d'assumer les frais de la procédure sans porter atteinte au minimum nécessaire à son entretien et à celui de sa famille (ATF 144 III 531 consid. 4.1 ; 141 III 369 consid. 4.1 ; TF 5A_972/2021 du 2 février 2023 consid. 2.1.1).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ainsi que de sa fortune, mobilière et immobilière, pour autant qu'elle soit disponible (ATF 124 I 1 consid. 1 et consid. 2a, JdT 1999 I 60, RDAF 1999 I 549 ; TF 5A_972/2021 du 2 février 2023 consid. 2.1.1) et, d'autre part, l'ensemble de ses engagements financiers, seules les charges réellement acquittées étant susceptibles d'entrer dans le calcul du minimum vital (ATF 135 I 221 consid. 5.1 ; TF 4A_461/2022 du 15 décembre 2022 consid. 4.1.2 ; TF 5A_972/2021 du 2 février 2023 consid. 2.1.1). La jurisprudence a toutefois admis que la fortune mobilière pouvait présenter le caractère d'une « réserve de secours » destinée à couvrir les besoins futurs du requérant, dont le montant doit être apprécié selon les circonstances de l'espèce, tels que les perspectives de gain, l'âge, l'état de santé et les obligations familiales de l'intéressé (cf. ATF 144 III 531 consid. 4.1 ; TF 5A_972/2021 du 2 février 2023 consid. 2.1.1 ; 1B_595/2021 du 28 juillet 2022 consid. 2 ; 4A_250/2019 du 7 octobre 2019 consid. 2.1.2, RSPC 2020, p. 126 ; 5A_886/2017 du 20 mars 2018 consid. 5.2 et la jurisprudence citée).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Un canton peut donc avoir une pratique plus restrictive quant à la réserve de secours (TF 5A_2/2020 du 15 janvier 2020 consid. 4).</w:t>
      </w:r>
    </w:p>
    <w:p>
      <w:r>
        <w:rPr>
          <w:b/>
        </w:rPr>
        <w:t>E. 5.1.3</w:t>
      </w:r>
    </w:p>
    <w:p>
      <w:r>
        <w:t>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w:t>
      </w:r>
    </w:p>
    <w:p>
      <w:r>
        <w:rPr>
          <w:b/>
        </w:rPr>
        <w:t>E. 5.1.4</w:t>
      </w:r>
    </w:p>
    <w:p>
      <w:r>
        <w:t>Le seul fait que le requérant à l’assistance judiciaire en procédure de deuxième instance ait obtenu l'assistance judiciaire en première instance ou dans d'autres procédures n'est pas décisif (ATF 122 III 392 c. 3a) et n'est pas de nature à faire naître des attentes légitimes chez l'intéressé quant au fait qu'il pourra nécessairement bénéficier de l'assistance judiciaire lors de la procédure de recours (TF 4A_48/2021 du 21 juin 2021 consid. 7.2). En effet, la juridiction de recours n'est pas liée dans l'évaluation de l'indigence par la décision de première instance ou par une décision rendue dans d'autres procédures (ATF 149 III 67 consid. 11.4.2 ; TF 5A_287/2023 du 5 juillet 2023 consid. 6).</w:t>
      </w:r>
    </w:p>
    <w:p>
      <w:r>
        <w:rPr>
          <w:b/>
        </w:rPr>
        <w:t>E. 5.2</w:t>
      </w:r>
    </w:p>
    <w:p>
      <w:r>
        <w:t>En l’occurrence, il ressort des pièces produites par l’appelant dans le cadre de sa requête d’assistance judiciaire qu’il perçoit un revenu mensuel net de 5'361 fr., assume des charges de l’ordre de 4'370 fr., contribution d’entretien de 1'700 fr. et allocations familiales comprises. Selon sa déclaration d’impôt 2022, il disposait d’une fortune imposable de quelque 158'000 fr., soit 5'185 fr. à titre d’économies et 152'950 fr. composés de titres et autres rendements. L’appelant n’explique pas dans sa requête les raisons pour lesquelles certains de ses titres ne pourraient pas être réalisés pour obtenir les liquidités nécessaires à financer la procédure d’appel. Compte tenu de cette fortune mobilière, dont le montant est supérieur à ce qui est toléré pour une « réserve de secours », et la juge de céans n’étant pas liée par la décision prise en première instance, le bénéfice de l’assistance judiciaire pour la procédure d’appel doit être refusé à l’appelant. Par conséquent, sa requête tendant à l’octroi de l’assistance judiciaire sera rejetée.</w:t>
      </w:r>
    </w:p>
    <w:p>
      <w:r>
        <w:rPr>
          <w:b/>
        </w:rPr>
        <w:t>E. 5.3.1</w:t>
      </w:r>
    </w:p>
    <w:p>
      <w:r>
        <w:t>L’intimée étant au bénéfice de l’assistance judiciaire par décision du 20 septembre 2023, son conseil d’office, Me Irina Brodard-Lopez,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5.3.2</w:t>
      </w:r>
    </w:p>
    <w:p>
      <w:r>
        <w:t>Me Irina Brodard-Lopez a indiqué dans sa liste des opérations avoir consacré 6 heures et 12 minutes au dossier. Vu la nature du litige et les difficultés de la cause, ce décompte peut être admis. Il s’ensuit que l’indemnité d’office de Me Brodard-Lopez sera arrêtée à 1'116 fr., montant auquel il convient d’ajouter des débours par 22 fr. 32 (2 % ; art. 3bis al. 1 RAJ) ainsi que la TVA à 7,7 % sur le tout (1'138 fr. 32), soit 87 fr. 65, ce qui aboutit à un montant total de 1'225 fr. 97, arrondi à 1'226 francs.</w:t>
      </w:r>
    </w:p>
    <w:p>
      <w:r>
        <w:rPr>
          <w:b/>
        </w:rPr>
        <w:t>E. 5.4</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querellée est réformée au chiffre I de son dispositif en ce sens que la requête du 16 mai 2023 de W.________ tendant à la nomination de M.________ en qualité de curatrice de surveillance des relations personnelles au sens de l’art. 308 al. 2 CC est admise, M.________ étant désignée en qualité de curatrice de surveillance des relations personnelles au sens de l’art. 308 al. 2 CC en faveur de l’enfant Q.________, née le [...] 2011, pour une durée limitée d’une année à compter du 1 er décembre 2023, avec pour mission de travailler la reprise du lien entre le père et Q.________ et du droit de visite entre le père et l’enfant de manière médiatisée, par le biais de 17 à 24 séances d’entretiens individuels et/ou de visites médiatisées selon une fréquence qu’elle estimera la plus appropriée et dont le coût total sera de 2'400 fr. au maximum, les frais de cette mesure étant à la charge des deux parents, la répartition entre eux étant réservée, respectivement à la charge de l’Etat si les deux parents devaient être considérés comme indigents. IIbis. La Direction générale de l’enfance et de la jeunesse, par l’assistante sociale Z.________, est formellement relevée de son mandat de curatelle de surveillance des relations personnelles en application de l’art. 308 al. 2 CC. L’ordonnance est confirmée pour le surplus. III. La requête d’assistance judiciaire de W.________ pour la procédure d’appel est rejetée. IV. Les frais judiciaires de deuxième instance, arrêtés à 600 fr. (six cents francs), seront mis à la charge de l’intimée H.________, mais laissés provisoirement à la charge de l’Etat. V. L’intimée H.________ versera à W.________ la somme de 2'625 fr. (deux mille six cent vingt-cinq francs) à titre de dépens de deuxième instance. VI. L’indemnité de Me Irina Brodard-Lopez, conseil d’office de l’intimée H.________, est arrêtée à 1'226 fr. (mille deux cent vingt-six francs), débours et TVA compris. VII. La bénéficiaire de l’assistance judiciaire est tenue au remboursement des frais judiciaires et de l’indemnité versée à son conseil d’office, laissés provisoirement à la charge de l’Etat, dès qu’elle sera en mesure de le faire. VIII. L’arrêt est exécutoire. La juge unique :               La greffière : Du Le présent arrêt, dont la rédaction a été approuvée à huis clos, est notifié en expédition complète à : ‑ Me Amélie Giroud, av. (pour W.________), ‑ Me Irina Brodard-Lopez, av. (pour H.________, - Me Stéphanie Cacciatore, av. (pour l’enfant Q.________), et communiqué, par l'envoi de photocopies, à : ‑ Mme la Présidente du Tribunal d’arrondissement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