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2023 / 754 vom 23. November 2023</w:t>
      </w:r>
    </w:p>
    <w:p>
      <w:r>
        <w:t>VD Tribunal cantonal, 2023-11-23, FR</w:t>
      </w:r>
    </w:p>
    <w:p>
      <w:r>
        <w:rPr>
          <w:b/>
        </w:rPr>
        <w:t xml:space="preserve">Quelle: </w:t>
      </w:r>
      <w:r>
        <w:t>https://mcp.opencaselaw.ch/entscheid/vd_findinfo_HC___2023___754</w:t>
      </w:r>
    </w:p>
    <w:p>
      <w:r>
        <w:t>FR: VD_FINDINFO HC / 2023 / 754 du 23 novembre 2023</w:t>
      </w:r>
    </w:p>
    <w:p>
      <w:r>
        <w:t>IT: VD_FINDINFO HC / 2023 / 754 del 23 novembre 2023</w:t>
      </w:r>
    </w:p>
    <w:p>
      <w:pPr>
        <w:pStyle w:val="Heading2"/>
      </w:pPr>
      <w:r>
        <w:t>Regeste</w:t>
      </w:r>
    </w:p>
    <w:p>
      <w:r>
        <w:t>COMPLÉMENT, JUGEMENT DE DIVORCE, PRÉVOYANCE PROFESSIONNELLE, DÉCISION ÉTRANGÈRE | 15 LDIP, 59 let. b LDIP, 61 LDIP, 64 LDIP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CPC). Celle-ci versera ainsi ce montant à l’appelant à titre de remboursement de l’avance de frais effectuée. Vu l’issue du litige, l’intimée versera à l’appelant de pleins dépens fixés à 3’000 fr. (art. 106 al. 1 CPC et 7 TDC [tarif des dépens en matière civile du 23 novembre 2010 ; BLV 270.11.6]).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