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686 vom 18. August 2023</w:t>
      </w:r>
    </w:p>
    <w:p>
      <w:r>
        <w:t>VD Tribunal cantonal, 2023-08-18, FR</w:t>
      </w:r>
    </w:p>
    <w:p>
      <w:r>
        <w:rPr>
          <w:b/>
        </w:rPr>
        <w:t xml:space="preserve">Quelle: </w:t>
      </w:r>
      <w:r>
        <w:t>https://mcp.opencaselaw.ch/entscheid/vd_findinfo_HC___2023___686</w:t>
      </w:r>
    </w:p>
    <w:p>
      <w:r>
        <w:t>FR: VD_FINDINFO HC / 2023 / 686 du 18 août 2023</w:t>
      </w:r>
    </w:p>
    <w:p>
      <w:r>
        <w:t>IT: VD_FINDINFO HC / 2023 / 686 del 18 agosto 2023</w:t>
      </w:r>
    </w:p>
    <w:p>
      <w:pPr>
        <w:pStyle w:val="Heading2"/>
      </w:pPr>
      <w:r>
        <w:t>Regeste</w:t>
      </w:r>
    </w:p>
    <w:p>
      <w:r>
        <w:t>SÛRETÉS | 99 al. 1 CPC (CH)</w:t>
      </w:r>
    </w:p>
    <w:p>
      <w:pPr>
        <w:pStyle w:val="Heading2"/>
      </w:pPr>
      <w:r>
        <w:t>Erwägungen</w:t>
      </w:r>
    </w:p>
    <w:p>
      <w:r>
        <w:rPr>
          <w:b/>
        </w:rPr>
        <w:t>E. 1.1</w:t>
      </w:r>
    </w:p>
    <w:p>
      <w:r>
        <w:t>Les art. 103 et 319 let. b ch. 1 CPC (Code de procédure civile du 19  décembre 2008 ; RS 272)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 Tappy, in Commentaire romand, Code de procédure civile, 2 e éd., Bâle 2019, n. 11 ad art. 103 CPC et n. 14 ad art. 319 CPC), le délai de recours est de dix jours (art. 321 al. 2 CPC). Le recours, écrit et motivé, doit être introduit auprès de l'instance de recours (art. 321 al. 1 CPC), soit la Chambre des recours civile (art. 73 al. 1 LOJV [loi d'organisation judiciaire du 12 décembre 1979 ; BLV 173.021]).</w:t>
      </w:r>
    </w:p>
    <w:p>
      <w:r>
        <w:rPr>
          <w:b/>
        </w:rPr>
        <w:t>E. 1.2</w:t>
      </w:r>
    </w:p>
    <w:p>
      <w:r>
        <w:t>En l’espèce, le recours, écrit et motivé, a été interjeté en temps utile par des parties qui ont un intérêt digne de protection (art. 59 al. 2 let. a CPC), de sorte qu’il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applicable en appel).</w:t>
      </w:r>
    </w:p>
    <w:p>
      <w:r>
        <w:rPr>
          <w:b/>
        </w:rPr>
        <w:t>E. 2.2</w:t>
      </w:r>
    </w:p>
    <w:p>
      <w:r>
        <w:t>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5D_127/2019 du 19 août 2019 consid. 5.2 et la réf. citée : TF  5A_686/2013 du 31 janvier 2014 consid. 6.1 non publié aux ATF 140 III 180 ; voir également TF 5A_899/2020 du 15 novembre 2021 consid. 2.2.2). Ce principe est assorti de plusieurs exceptions ; notamment l'intéressé qui n'a (valablement) pas été entendu devant le premier juge est admis à invoquer des nova , à tout le moins ceux qui existaient déjà en première instance ( pseudo-nova ; ATF 145 III 422 consid. 5.2). Par ailleurs, des nova sont recevables lorsqu'ils résultent de la décision de l'autorité précédente (cf. art. 99 LTF ; ATF 139 III 466 consid. 3.4, JdT 2015 II 439 : in casu motif de récusation ; TF 5A_375/2022 du 31 août 2022 consid. 5.2 ; TF 5A_863/2017 du 3 août 2018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I'ATF 145 III 474).</w:t>
      </w:r>
    </w:p>
    <w:p>
      <w:r>
        <w:rPr>
          <w:b/>
        </w:rPr>
        <w:t>E. 2.3</w:t>
      </w:r>
    </w:p>
    <w:p>
      <w:r>
        <w:t>En l’occurrence, dans une partie intitulée « Faits », les recourants évoquent différents faits sans toutefois procéder clairement à une critique de ceux retenus par le juge délégué ni faire valoir dans quel sens l'état de fait devrait être modifié. Certes, ils se plaignent que l'un des motifs justifiant leur demande de sûretés, soit le fait que l'intimée aurait été radiée des registres du [...] le [...] 2014, n'aurait pas été abordé. Ils n'exposent toutefois pas de grief clair à ce titre et n’expliquent pas en quoi la décision attaquée serait arbitraire dans les faits retenus, si bien que cette partie du recours est irrecevable.</w:t>
      </w:r>
    </w:p>
    <w:p>
      <w:r>
        <w:rPr>
          <w:b/>
        </w:rPr>
        <w:t>E. 3.1</w:t>
      </w:r>
    </w:p>
    <w:p>
      <w:r>
        <w:t>Dans un grief principal, les recourants se plaignent d'une violation de l'art. 99 al. 1 CPC. Ils font valoir que le juge délégué aurait dû faire droit à leur réquisition tendant à démontrer que l'intimée ne serait plus inscrite au [...], qu'ainsi la question de la légitimation active de l'intimée ne serait tranchée qu'à la fin du litige, et qu’au vu de l'ampleur probable de celui-ci, la quotité des sûretés allouées serait « sans doute » insuffisante pour couvrir les dépens. En outre, la cause n'impliquerait pas de consorité permettant aux recourants de se retourner contre une autre partie, ce qui induirait un risque particulier.</w:t>
      </w:r>
    </w:p>
    <w:p>
      <w:r>
        <w:rPr>
          <w:b/>
        </w:rPr>
        <w:t>E. 3.2</w:t>
      </w:r>
    </w:p>
    <w:p>
      <w:r>
        <w:t>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Ces quatre conditions sont alternatives (Tappy, Commentaire romand, Code de procédure civile, 2 e éd., Bâle 2019, op. cit. , n. 16 ad art. 99 CPC). S'agissant de la quotité de ces sûretés, celles-ci ne peuvent être en principe exigées que pour garantir le recouvrement de frais futurs et non des frais déjà engagés dans la procédure (cf. TF 4A_46/2015 du 27 mars 2015 consid. 3 ; CREC 14 juillet 2017/250 consid. 4.2). L'art. 4 TDC prévoit que pour une valeur litigieuse supérieure à 5'000'000 fr., le défraiement de l'avocat pour une procédure de première instance dans une affaire patrimoniale, en procédure ordinaire, se situe entre 40'000 fr. et un montant maximum équivalent au 2 % de la valeur litigieuse.</w:t>
      </w:r>
    </w:p>
    <w:p>
      <w:r>
        <w:rPr>
          <w:b/>
        </w:rPr>
        <w:t>E. 3.3</w:t>
      </w:r>
    </w:p>
    <w:p>
      <w:r>
        <w:t>En l’occurrence, les recourants omettent toutefois d'exposer quels seraient les frais supplémentaires encourus en cas de traitement de la question de la légitimation active de l'intimée à l'issue du procès, par rapport à l'évaluation effectuée par le premier juge. On ne perçoit d'ailleurs pas qu'elles pourraient être les opérations complémentaires à effectuer qui justifieraient ainsi l'octroi de dépens supérieurs. Dans la mesure où les recourants ne l'indiquent pas, le sort de leur grief est scellé, ainsi que celui du recours.</w:t>
      </w:r>
    </w:p>
    <w:p>
      <w:r>
        <w:rPr>
          <w:b/>
        </w:rPr>
        <w:t>E. 4</w:t>
      </w:r>
    </w:p>
    <w:p>
      <w:r>
        <w:t>Il résulte des considérants qui précèdent que le recours doit être rejeté, selon le mode procédural de l'art. 322 al. 1 in fine CPC, et la décision attaquée confirmée. Les frais judiciaires de deuxième instance, arrêtés à 1’300 fr. (art. 69 al. 1 et 70 al. 3 TFJC [tarif des frais judiciaires civils du 28 septembre 2010 ; BLV  270.11.5]), sont mis à la charge des recourants – solidairement entre eux –, qui succombent (art. 106 al. 1 CPC). Il ne sera pas alloué de dépens de deuxième instance, dès lors que des déterminations sur le recours n’ont pas été requises. Par ces motifs, la Chambre des recours civile du Tribunal cantonal, en application de l'art. 322 al. 1 CPC, prononce : I. Le recours est rejeté. II. La décision est confirmée. III. Les frais judiciaires de deuxième instance, arrêtés à 1’300 fr. (mille trois cents francs), sont mis à la charge des recourants M.________, T.________ et D.________, solidairement entre eux. IV. ll n’est pas alloué de dépens. V. L’arrêt est exécutoire. Le président :               La greffière : Du L'arrêt qui précède, dont la rédaction a été approuvée à huis clos, est notifié à : ‑ Me Robert Fox (pour M.________, T.________ et D.________), ‑ Me Laurent Pfeiffer (pour C.________ et la Fondation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