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666 vom 5. Oktober 2023</w:t>
      </w:r>
    </w:p>
    <w:p>
      <w:r>
        <w:t>VD Tribunal cantonal, 2023-10-05, FR</w:t>
      </w:r>
    </w:p>
    <w:p>
      <w:r>
        <w:rPr>
          <w:b/>
        </w:rPr>
        <w:t xml:space="preserve">Quelle: </w:t>
      </w:r>
      <w:r>
        <w:t>https://mcp.opencaselaw.ch/entscheid/vd_findinfo_HC___2023___666</w:t>
      </w:r>
    </w:p>
    <w:p>
      <w:r>
        <w:t>FR: VD_FINDINFO HC / 2023 / 666 du 5 octobre 2023</w:t>
      </w:r>
    </w:p>
    <w:p>
      <w:r>
        <w:t>IT: VD_FINDINFO HC / 2023 / 666 del 5 ottobre 2023</w:t>
      </w:r>
    </w:p>
    <w:p>
      <w:pPr>
        <w:pStyle w:val="Heading2"/>
      </w:pPr>
      <w:r>
        <w:t>Regeste</w:t>
      </w:r>
    </w:p>
    <w:p>
      <w:r>
        <w:t>INSPECTION LOCALE, PROCÈS-VERBAL, COMMUNICATION, DROIT D'ÊTRE ENTENDU, ADMISSION DE LA DEMANDE, DÉCISION DE RENVOI | 29 al. 1 Cst., 182 CPC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Formé en temps utile par des parties qui ont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Invoquant une violation de leur droit d'être entendu, les appelants relèvent que le procès-verbal de l'inspection locale du 16 novembre 2022 ne leur a pas été notifié, qu'ils n'ont pas pu se déterminer sur ce document et que ce vice ne peut pas être réparé au stade de l'appel, de sorte que leur appel doit être admis.</w:t>
      </w:r>
    </w:p>
    <w:p>
      <w:r>
        <w:rPr>
          <w:b/>
        </w:rPr>
        <w:t>E. 3.2.1</w:t>
      </w:r>
    </w:p>
    <w:p>
      <w:r>
        <w:t>Aux termes de l'art. 182, première phrase, CPC, l'inspection fait l'objet d'un procès-verbal. Celui-ci doit être adressé aux parties, afin qu'elles puissent être en mesure d'en requérir des corrections (ATF 142 I 86 consid. 2.2).</w:t>
      </w:r>
    </w:p>
    <w:p>
      <w:r>
        <w:rPr>
          <w:b/>
        </w:rPr>
        <w:t>E. 3.2.2</w:t>
      </w:r>
    </w:p>
    <w:p>
      <w:r>
        <w:t>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citées).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1189 consid. 3.2 ; ATF 139 II 489 consid. 3.3 ; ATF 138 1154 consid. 2.3).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3.3</w:t>
      </w:r>
    </w:p>
    <w:p>
      <w:r>
        <w:t>En l’espèce, selon le procès-verbal des opérations, le procès-verbal de l'inspection locale du 16 novembre 2022 n'a pas été communiqué aux parties. De plus, ni le procès-verbal de l’audience de jugement ni le procès-verbal de l’inspection locale joint ne mentionnent qu’une copie aurait été remise aux parties à l’issue de l’audience. Par conséquent, celles-ci n'ont pas eu la possibilité de formuler d'éventuelles requêtes de rectification, ce qui constitue une violation de leur droit d’être entendu. Cette violation doit en l’occurrence être considérée comme grave dans la mesure où les appelants n’ont pas pu se déterminer sur les éléments figurant dans le procès-verbal d’inspection locale et que le jugement entrepris retient plusieurs faits ressortant de cette inspection, qui sont contestés en appel (cf. notamment pp. 5, 7 et 9 de l’appel), ce qui justifie, tout comme la garantie de la double instance, le renvoi de la cause. En effet, la Cour de céans n’a pas assisté à l’inspection locale et ne peut donc ni rectifier ni compléter le procès-verbal sur les points que les appelants contestent. Il convient dès lors d’annuler le jugement et de renvoyer la cause à l’autorité de première instance pour qu’elle communique aux parties le procès-verbal d’inspection locale et statue à nouveau en respectant leur droit d’être entendu.</w:t>
      </w:r>
    </w:p>
    <w:p>
      <w:r>
        <w:rPr>
          <w:b/>
        </w:rPr>
        <w:t>E. 3.4</w:t>
      </w:r>
    </w:p>
    <w:p>
      <w:r>
        <w:t>Les appelants font encore valoir différents griefs contre le jugement entrepris tant s’agissant de la constatation inexacte des faits que du droit. Dans la mesure où l’appel est admis et le jugement annulé en raison de la violation de leur droit d’être entendu, les autres griefs invoqués par les appelants peuvent rester ouverts. En outre, il n’y a pas lieu d’impartir un délai de réponse à l’intimée compte tenu de la violation grave du droit d’être entendu retenue ci-avant, la cause devant être renvoyée aux premiers juges.</w:t>
      </w:r>
    </w:p>
    <w:p>
      <w:r>
        <w:rPr>
          <w:b/>
        </w:rPr>
        <w:t>E. 4.1</w:t>
      </w:r>
    </w:p>
    <w:p>
      <w:r>
        <w:t>Au vu de ce qui précède, le jugement entrepris doit être annulé et la cause renvoyée à l’autorité précédente pour nouvelle décision dans le sens des considérants.</w:t>
      </w:r>
    </w:p>
    <w:p>
      <w:r>
        <w:rPr>
          <w:b/>
        </w:rPr>
        <w:t>E. 4.2</w:t>
      </w:r>
    </w:p>
    <w:p>
      <w:r>
        <w:t>S’agissant du sort des frais et dépens de première instance, la cause est également renvoyée sur cette question à l’autorité précédente au vu des considérants qui précèdent.</w:t>
      </w:r>
    </w:p>
    <w:p>
      <w:r>
        <w:rPr>
          <w:b/>
        </w:rPr>
        <w:t>E. 4.3</w:t>
      </w:r>
    </w:p>
    <w:p>
      <w:r>
        <w:t>Les frais judiciaires de deuxième instance, arrêtés à 1'500 fr. (art. 62 al. 1 TFJC [tarif des frais judiciaires civils du 28 septembre 2010 ; BLV 270.11.5]), sont laissés à la charge de l’Etat (art. 6 al. 3 TFJC). L’art. 107 al. 2 CPC ne permet pas de condamner l’Etat à la prise en charge des dépens (ATF 140 III 385). L’intimée n’ayant pas été invitée à se déterminer, on ne saurait lui imputer des dépens. Par ailleurs, même si l’intimée avait conclu au rejet de l’appel, il serait inéquitable de lui faire supporter les dépens de cette procédure de deuxième instance, les arguments de fond n’ayant pas été examinés. Il ne sera dès lors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