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478 vom 19. Juli 2023</w:t>
      </w:r>
    </w:p>
    <w:p>
      <w:r>
        <w:t>VD Tribunal cantonal, 2023-07-19, FR</w:t>
      </w:r>
    </w:p>
    <w:p>
      <w:r>
        <w:rPr>
          <w:b/>
        </w:rPr>
        <w:t xml:space="preserve">Quelle: </w:t>
      </w:r>
      <w:r>
        <w:t>https://mcp.opencaselaw.ch/entscheid/vd_findinfo_HC___2023___478</w:t>
      </w:r>
    </w:p>
    <w:p>
      <w:r>
        <w:t>FR: VD_FINDINFO HC / 2023 / 478 du 19 juillet 2023</w:t>
      </w:r>
    </w:p>
    <w:p>
      <w:r>
        <w:t>IT: VD_FINDINFO HC / 2023 / 478 del 19 luglio 2023</w:t>
      </w:r>
    </w:p>
    <w:p>
      <w:pPr>
        <w:pStyle w:val="Heading2"/>
      </w:pPr>
      <w:r>
        <w:t>Regeste</w:t>
      </w:r>
    </w:p>
    <w:p>
      <w:r>
        <w:t>PROTECTION DE L'UNION CONJUGALE, MODIFICATION DES CIRCONSTANCES, OBLIGATION D'ENTRETIEN | 176 al. 1 ch. 1 CC, 179 al. 1 CC, 285 CC</w:t>
      </w:r>
    </w:p>
    <w:p>
      <w:pPr>
        <w:pStyle w:val="Heading2"/>
      </w:pPr>
      <w:r>
        <w:t>Erwägungen</w:t>
      </w:r>
    </w:p>
    <w:p>
      <w:r>
        <w:rPr>
          <w:b/>
        </w:rPr>
        <w:t>E. 1</w:t>
      </w:r>
    </w:p>
    <w:p>
      <w:r>
        <w:t>CPC). Un membre de la Cour d'appel civile statue comme juge unique (art. 84 al. 2 LOJV [loi d’organisation judiciaire du 12 décembre 1979 ; BLV 173.01]).</w:t>
      </w:r>
    </w:p>
    <w:p>
      <w:r>
        <w:rPr>
          <w:b/>
        </w:rPr>
        <w:t>E. 1.1</w:t>
      </w:r>
    </w:p>
    <w:p>
      <w:r>
        <w:t>L’appel est recevable contre les prononcés de mesures protectrices de l’union conjugale, qui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w:t>
      </w:r>
    </w:p>
    <w:p>
      <w:r>
        <w:rPr>
          <w:b/>
        </w:rPr>
        <w:t>E. 1.2</w:t>
      </w:r>
    </w:p>
    <w:p>
      <w:r>
        <w:t>En l'espèce, formé en temps utile par une partie qui a un intérêt digne de protection (art. 59 al. 2 let. a CPC) et portant sur des conclusions de nature patrimoniale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Conformément à l’art. 272 CPC relatif aux mesures protectrices de l’union conjugale,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 2.3 in limine ; TF 5A_71/2018 du 12 juillet 2018 consid. 4.2 et les références citées).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références citées), la maxime d'office (art. 296 al.</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2.3.2</w:t>
      </w:r>
    </w:p>
    <w:p>
      <w:r>
        <w:t>En l’espèce, l’appelant a produit avec son appel des pièces qui ne figuraient pas au dossier de première instance, notamment son nouveau contrat de travail. Dès lors que ces pièces sont susceptibles d’avoir une influence sur la question – litigieuse en appel – du montant des contributions d’entretien dues en faveur des enfants mineurs des parties, elles sont recevables sans qu’il soit nécessaire d’examiner si elles remplissent les conditions de l’art. 317 al. 1 CPC. Il en a été tenu compte ci-avant dans la mesure utile.</w:t>
      </w:r>
    </w:p>
    <w:p>
      <w:r>
        <w:rPr>
          <w:b/>
        </w:rPr>
        <w:t>E. 3</w:t>
      </w:r>
    </w:p>
    <w:p>
      <w:r>
        <w:t>CPC) étant également applicable à ces questions.</w:t>
      </w:r>
    </w:p>
    <w:p>
      <w:r>
        <w:rPr>
          <w:b/>
        </w:rPr>
        <w:t>E. 3.1</w:t>
      </w:r>
    </w:p>
    <w:p>
      <w:r>
        <w:t>L’appelant reproche tout d’abord à la première juge d’avoir considéré qu’il était possible de revoir la convention de mesures protectrices de l’union conjugale du 27 septembre 2021, respectivement d’être entrée en matière sur la requête de l’intimée tendant à la modification de cette convention, cela sans la survenance de circonstances nouvelles.</w:t>
      </w:r>
    </w:p>
    <w:p>
      <w:r>
        <w:rPr>
          <w:b/>
        </w:rPr>
        <w:t>E. 3.2.1</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si les faits qui ont fondé le choix des mesures provisoires dont la modification est sollicitée se sont révélés faux ou ne se sont par la suite pas réalisés comme prévus (ATF 129 III 60 consid. 2 ; TF 5A_436/2020 du</w:t>
      </w:r>
    </w:p>
    <w:p>
      <w:r>
        <w:rPr>
          <w:b/>
        </w:rPr>
        <w:t>E. 3.2.2</w:t>
      </w:r>
    </w:p>
    <w:p>
      <w:r>
        <w:t>Comme pour les effets du divorce (art. 279 CPC), la fixation de l’entretien dans le cadre de la procédure de mesures protectrice ou de mesures provisionnelles en cas de divorce peut reposer sur une convention conclue entre les époux. Une convention permet aux parties de mettre fin définitivement à d’éventuelles incertitudes concernant les faits pertinents ou la portée juridique de ceux-ci. Dans la mesure où un jugement complet sur les faits et leur portée juridique est évité en cas de convention entre les parties, les points sur lesquels elles se sont mises d’accord demeurent en principe inchangés (ATF 142 III 518 consid. 2.5 ; cf. de Weck-Immelé, Modification d'une convention entre époux en mesures protectrices et provisionnelles : cherchez l'erreur !, Newsletter Droit matrimonial, été 2016). Les possibilités de modifier des mesures protectrices ou provisionnelles reposant sur une convention sont limitées. Les mêmes restrictions que celles qui découlent de la jurisprudence en matière de convention de divorce sont applicables (ATF 142 III 518 consid. 2.6 ; cf. de Weck-Immelé, ibidem. ). Pour apprécier si les conditions d’une modification sont réalisées, lorsque la convention n’exprime pas les critères ni les bases de calcul de la contribution d’entretien, il appartient au juge de la modification d’interpréter la convention. Lorsque la volonté des parties ne peut pas être reconstituée, il convient de restituer la volonté présumée des époux, selon le principe de la confiance, c’est-à-dire d’interpréter la convention de la manière dont elle devrait être comprise d’après son sens littéral et son contexte en fonction de l’ensemble des circonstances (TF 5A_1027/2020 du 16 juillet 2021 consid. 3.3 ; TF 5C.197/2003 du 30 avril 2004 consid. 2.2).</w:t>
      </w:r>
    </w:p>
    <w:p>
      <w:r>
        <w:rPr>
          <w:b/>
        </w:rPr>
        <w:t>E. 3.3</w:t>
      </w:r>
    </w:p>
    <w:p>
      <w:r>
        <w:t>En l’espèce, la première juge a considéré, à la lecture du chiffre XII de la convention de mesures protectrices de l’union conjugale du 27 septembre 2021, que les parties avaient réservé la possibilité de demander que cette convention soit revue même sans élément nouveau. L’appelant soutient que cela ne serait pas le cas, la présidente s’étant selon lui livrée à une interprétation insoutenable de la clause précitée. A ce sujet, il expose le principe selon lequel, lorsqu’elles passent une convention, les parties entendent régler tout ce qui dépend de circonstances qu’elles ignorent pour l’heure. Cet élément n’est toutefois pas pertinent dans le cas particulier. En effet, les parties ont expressément réservé dans la convention précitée la possibilité de modifier celle-ci – sans élément nouveau – dès que l’appelant aurait retrouvé du travail, mais au plus tard le 30 juin 2022. C’est à juste titre que la présidente a interprété ainsi le chiffre XII de la convention. Le texte de cette clause est parfaitement clair sur ce point et rien ne justifie de s’écarter de son sens littéral. Il est significatif à cet égard que l’appelant n’indique pas quel serait, selon lui, le sens réel de la clause en question. On relèvera encore que les arguments soulevés par l’appelant concernant le fait qu’une modification de la convention ne pourrait intervenir que pour des vices du consentement, à savoir en cas d’erreur, de dol ou de crainte fondée, sont sans pertinence aucune. En effet, l’intimée n’a jamais rien invoqué de tel, précisément parce que la convention litigieuse prévoyait sa propre modification. Partant, le grief est infondé et doit être rejeté. 4. 4.1 L’appelant fait grief à la présidente de lui avoir imputé un revenu hypothétique. 4.2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w:t>
      </w:r>
    </w:p>
    <w:p>
      <w:r>
        <w:rPr>
          <w:b/>
        </w:rPr>
        <w:t>E. 5</w:t>
      </w:r>
    </w:p>
    <w:p>
      <w:r>
        <w:t>février 2021 consid. 4.1 ; TF 5A_617/2017 du 28 septembre 2017 consid. 3.1).</w:t>
      </w:r>
    </w:p>
    <w:p>
      <w:r>
        <w:rPr>
          <w:b/>
        </w:rPr>
        <w:t>E. 5.1</w:t>
      </w:r>
    </w:p>
    <w:p>
      <w:r>
        <w:t>L’appelant fait grief à la première juge d’avoir retenu, dans les charges de l’intimée, un montant d’impôt de 3'200 fr. par mois. Il fait valoir qu’il ressortirait de la décision de taxation 2021 que l’intimée payait 2'030 fr. par mois à ce titre, et que, sa situation n’ayant pas changé, c’est ce montant qui devrait être retenu plutôt qu’une « simulation fiscale purement abstraite ».</w:t>
      </w:r>
    </w:p>
    <w:p>
      <w:r>
        <w:rPr>
          <w:b/>
        </w:rPr>
        <w:t>E. 5.2</w:t>
      </w:r>
    </w:p>
    <w:p>
      <w:r>
        <w:t>On ignore d’où l’appelant tire ce montant de 2'030 francs. Il ressort en effet de la décision de taxation 2021, qui a été produite en première instance (cf. pièce 14), qu’au cours de cette année les impôts de l’intimée se sont élevés, y compris l’impôt fédéral direct mais sans compter l'impôt sur la fortune, à 40'046 fr. 05, ce qui équivaut à 3'337 fr. par mois. On relèvera au demeurant que la simulation effectuée par la première juge est sans doute en dessous de la réalité, puisque l’intimée ne paie désormais plus de contribution d’entretien pour son époux, contrairement à ce qui était encore le cas en 2021. Au vu de ce qui précède, la charge fiscale de l’intimée retenue dans le prononcé entrepris ne paraît en aucun cas surévaluée, de sorte que le grief doit être rejeté.</w:t>
      </w:r>
    </w:p>
    <w:p>
      <w:r>
        <w:rPr>
          <w:b/>
        </w:rPr>
        <w:t>E. 6.1</w:t>
      </w:r>
    </w:p>
    <w:p>
      <w:r>
        <w:t>L’appelant critique ensuite le fait que la présidente a déduit les cotisations au troisième pilier de l’intimée, de 291 fr. 65 par mois, ainsi que l’épargne qu’elle réalisait, de 3'000 fr. par mois, au moment de calculer la répartition de l’excédent. Il fait valoir que ces montants devraient être pris en compte dans l’excédent de l’intimée, arguant qu’à défaut il suffirait à une partie de constituer de l’épargne via un troisième pilier pour échapper à ses obligations.</w:t>
      </w:r>
    </w:p>
    <w:p>
      <w:r>
        <w:rPr>
          <w:b/>
        </w:rPr>
        <w:t>E. 6.2</w:t>
      </w:r>
    </w:p>
    <w:p>
      <w:r>
        <w:t>La présidente n’a pas tenu compte des cotisations au troisième pilier de l’intimée dans les charges de celle-ci, ce qui est juste. Elle a en effet tenu compte de l’entier du disponible de l’intimée, de 7'166 fr. 40 (cf. prononcé, p. 19), pour calculer la prise en charge des coûts directs des enfants (cf. prononcé, pp. 22-23). Ce n’est qu’ensuite, au moment de répartir l’excédent, qu’elle a déduit les deux montants précités, représentant l’épargne 3 ème pilier réalisée par l’intéressée (cf., prononcé p. 23). Il n’y a rien de critiquable à cela. L’appelant recevra sa part de cette épargne lors de la liquidation du régime matrimonial. Il n’y a aucune raison qu’il reçoive cette part deux fois, une première fois sous forme de participation à l’excédent, et une deuxième fois lorsque le régime matrimonial sera liquidé (cf. Stoudmann, Le divorce en pratique, 2 e éd., 2023, p. 206 et les références). Au vu de ce qui précède, le grief doit être rejeté.</w:t>
      </w:r>
    </w:p>
    <w:p>
      <w:r>
        <w:rPr>
          <w:b/>
        </w:rPr>
        <w:t>E. 7</w:t>
      </w:r>
    </w:p>
    <w:p>
      <w:r>
        <w:t>En définitive, l’appel se révèle manifestement infondé et doit être rejeté en application de l’art. 312 al. 1 in fine CPC, le prononcé entrepris étant confirmé. Les frais judiciaires de deuxième instance, arrêtés à 1'200 fr. (art. 63 al. 2 TFJC [tarif des frais judiciaires civils du 28 septembre 2010 ; BLV 270.11.5]), seront mis à la charge de l’appelant, qui succombe (art. 106 al. 1 CPC). Il n’y a pas lieu à l’allocation de dépens, l’intimée n’ayant pas été invitée à se déterminer. Par ces motifs, le Juge unique de la Cour d’appel civile prononce : I. L’appel est rejeté. II. Le prononcé est confirmé . III. Les frais judiciaires de deuxième instance, arrêtés à 1'200 fr. (mille deux cents francs), sont mis à la charge de l’appelant A.A.________. IV. L’arrêt est exécutoire. Le juge unique :               Le greffier : Du Le présent arrêt, dont la rédaction a été approuvée à huis clos, est notifié en expédition complète à : ‑ Me Bertrand Gygax (pour A.A.________), ‑ Me Patricia Michellod (pour B.A.________), et communiqué, par l'envoi de photocopies, à : ‑ Mme la Vice-présidente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