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457 vom 21. Juli 2023</w:t>
      </w:r>
    </w:p>
    <w:p>
      <w:r>
        <w:t>VD Tribunal cantonal, 2023-07-21, FR</w:t>
      </w:r>
    </w:p>
    <w:p>
      <w:r>
        <w:rPr>
          <w:b/>
        </w:rPr>
        <w:t xml:space="preserve">Quelle: </w:t>
      </w:r>
      <w:r>
        <w:t>https://mcp.opencaselaw.ch/entscheid/vd_findinfo_HC___2023___457</w:t>
      </w:r>
    </w:p>
    <w:p>
      <w:r>
        <w:t>FR: VD_FINDINFO HC / 2023 / 457 du 21 juillet 2023</w:t>
      </w:r>
    </w:p>
    <w:p>
      <w:r>
        <w:t>IT: VD_FINDINFO HC / 2023 / 457 del 21 luglio 2023</w:t>
      </w:r>
    </w:p>
    <w:p>
      <w:pPr>
        <w:pStyle w:val="Heading2"/>
      </w:pPr>
      <w:r>
        <w:t>Regeste</w:t>
      </w:r>
    </w:p>
    <w:p>
      <w:r>
        <w:t>OBLIGATION D'ENTRETIEN, DÉMÉNAGEMENT, REVENU HYPOTHÉTIQUE, MODIFICATION DES CIRCONSTANCES | 286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5A_164/2019 du 20 mai 2020 consid. 4.3 ; TF 5A_3/2019 du 18 février 2019 consid. 3).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 respectivement lorsque le montant réclamé ressort de la motivation de l'appel, à tout le moins mise en relation avec le dispositif de la décision attaquée (TF 5A_342/2022 du 26 octobre 2022 consid. 2.1.3 ; TF 5A_645/2021 du 2 février 2022 consid. 3.3). Aux termes de l'art. 56 CPC, le tribunal interpelle les parties lorsque leurs actes ou déclarations sont peu clairs, contradictoires, imprécis ou manifestement incomplets et leur donne l'occasion de les clarifier et de les compléter. Selon la jurisprudence, le devoir d'interpellation par le tribunal selon l'art. 56 CPC ne dispense pas la partie de motiver dûment le recours. L'autorité d'appel n'est pas davantage tenue de renvoyer l'appel pour amélioration si les conclusions ou la motivation sont insuffisantes (TF 5A_779/2021 et TF 5A_787/2021 du 16 décembre 2022 consid. 4.3.1 ; TF 4A_207/2022 du 17 octobre 2022 consid. 3.3.1). Par ailleurs, des conclusions insuffisantes ne constituent pas un vice rédhibitoire au sens de l'art. 132 al. 1 CPC (ATF 137 III 617 consid. 6.4 ; TF 5A_342/2022 du 26 octobre 2022 consid. 2.1.1).</w:t>
      </w:r>
    </w:p>
    <w:p>
      <w:r>
        <w:rPr>
          <w:b/>
        </w:rPr>
        <w:t>E. 1.3</w:t>
      </w:r>
    </w:p>
    <w:p>
      <w:r>
        <w:t>En l'espèce, l'appel a été formé en temps utile par une partie qui a un intérêt digne de protection (art. 59 al. 2 let. a CPC) contre une décision finale de première instance et porte sur des conclusions patrimoniales qui, capitalisées (art. 92 al. 2 CPC), sont supérieures à 10'000 francs. Les conclusions principales sont suffisamment chiffrées et précises, de sorte que l’appel est recevable. En revanche, la conclusion subsidiaire tendant à la réforme du jugement entrepris « dans le sens des considérants de l'arrêt à intervenir » doit être déclarée irrecevable, faute pour l’appelante d’avoir chiffré les montants auxquels elle voulait voir l’intimé condamner.</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w:t>
      </w:r>
    </w:p>
    <w:p>
      <w:r>
        <w:rPr>
          <w:b/>
        </w:rPr>
        <w:t>E. 2.2</w:t>
      </w:r>
    </w:p>
    <w:p>
      <w:r>
        <w:t>0.6 heures] pour 2022 + [4 heures 24 minutes – 12 – 24 – 30 minutes] pour 2023). Au tarif horaire de 180 fr., les honoraires de Me Guy Longchamp s’élèvent à 1’836 fr. (180 fr. x 10.2 h), montant auquel s’ajoutent les débours forfaitaires de 2 % (art. 3bis RAJ), par 36 fr.70, la TVA sur le tout par 144 fr. 20, ce qui donne un total de 2'016 fr. 90.</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comme en l’espèce,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(ATF 144 III 349 consid. 4.2.1 et les réf. citées).</w:t>
      </w:r>
    </w:p>
    <w:p>
      <w:r>
        <w:rPr>
          <w:b/>
        </w:rPr>
        <w:t>E. 2.2.2</w:t>
      </w:r>
    </w:p>
    <w:p>
      <w:r>
        <w:t>En l’espèce, outre une pièce de forme et deux pièces figurant déjà au dossier de première instance (pièce 101 et pièce requise 152), l’appelante a produit une autorisation de procéder délivrée le 14 mai 2020. Au vu de la maxime inquisitoire illimitée applicable, cette pièce doit être considérée comme recevable. Par ailleurs, les pièces extraites par l’appelante et produites sous son second bordereau datent de 2016 et 2019. Elles sont recevables, compte tenu de la maxime inquisitoire illimitée applicable. Cela étant, ces pièces ne sont pas pertinentes pour l’issue du litige, au vu de ce qui suit.</w:t>
      </w:r>
    </w:p>
    <w:p>
      <w:r>
        <w:rPr>
          <w:b/>
        </w:rPr>
        <w:t>E. 3.1</w:t>
      </w:r>
    </w:p>
    <w:p>
      <w:r>
        <w:t>Dans un premier temps, l'appelante estime qu’il n'existait pas de faits nouveaux importants et durables au jour du dépôt de la demande pour justifier une modification des contributions d'entretien mises à la charge de l'intimé. Elle relève qu'à la date du dépôt de la demande, l'intimé était en droit de bénéficier d'indemnités de l'assurance-chômage durant encore 112 jours, correspondant à un revenu de 4'184 fr. 40 par mois, soit un montant supérieur à celui de 3'711 fr. sur la base duquel les contributions d'entretien avaient été initialement fixées. Elle conteste l'appréciation de la présidente aux termes de laquelle la renonciation aux indemnités journalières ne justifierait pas de retenir un revenu hypothétique, le départ de l'intimé au Portugal découlant de sa propre volonté. Elle explique encore qu’il a quitté la Suisse le 1 er janvier 2020, et non dans le courant de l'année, que cela ne l'a pas empêché de percevoir des indemnités pendant encore une période et que l'épouse de l'intimé habitait de toute manière déjà au Portugal au moment de la signature de la convention fixant les contributions d'entretien litigieuses. Ainsi, selon elle, le montant des indemnités journalières de l'intimé lui permettait d'assumer l'entretien convenable de ses trois enfants, de sorte que son action aurait dû être rejetée, faute de modification notable des circonstances financières.</w:t>
      </w:r>
    </w:p>
    <w:p>
      <w:r>
        <w:rPr>
          <w:b/>
        </w:rPr>
        <w:t>E. 3.2</w:t>
      </w:r>
    </w:p>
    <w:p>
      <w:r>
        <w:t>Aux termes de l'art. 286 CC (Code civil suisse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L'action en modification suppose que des faits nouveaux, importants et durables soient survenus depuis le jugement à modifier, dans la situation – globale – du débirentier ou du crédirentier, qui commandent une réglementation différente. Le fardeau de la preuve des conditions de la modification de la contribution d'entretien revient à la partie qui s'en prévaut. Dans tous les cas, une modification est exclue lorsque le changement des circonstances découle d'un comportement propre, contraire au droit et constitutif d'abus de droit de la partie qui s'en prévaut, tel l'abandon d'un emploi bien rémunéré ; dans ce cas, les principes retenus en matière de revenu hypothétique s'appliquent (ATF 141 III 376 consid. 3.3.1 ; TF 5A_689/2020 du 27 avril 2021 consid. 5.4 ; Stoudmann, Le divorce en pratique, 2 ème éd., Lausanne, 2023, p. 449 et les réf. citées). Seuls de véritables faits nouveaux peuvent fonder une procédure en modification ; il s'agit de faits survenus ou de moyens de preuves disponibles uniquement après la date à laquelle de nouveaux moyens auraient pu être invoqués pour la dernière fois dans la procédure antérieure, qui s'est terminée par un jugement entré en force. Le moment déterminant pour apprécier si un fait nouveau s'est produit est la date du dépôt de la demande de modification (ATF 137 III 604 consid. 4.1.1 ; TF 5A_190/2020 du 30 avril 2021 consid. 3 ; TF 5A_253/2020 du 25 mars 2021, consid. 3.1.1 ; Stoudmann, op. cit., p. 451 et 452 et les réf. citées). Lorsqu'il admet que les circonstances ayant prévalu lors de la décision initiale se sont modifiées durablement et de manière significative, le juge doit fixer à nouveau la contribution d'entretien, après avoir actualisé tous les éléments pris en compte pour le calcul dans le jugement précédent et litigieux devant lui. Pour que le juge puisse procéder à cette actualisation, il n'est pas nécessaire que le changement survenu dans ces autres éléments constitue également un fait important qui justifierait lui-même aussi une modification (ATF 138 III 289 consid. 11.1.1 ; TF 5A_120/2021 du 11 février 2022 consid. 5.3.1 ; TF 5A_151/2016 du 27 avril 2016 consid. 3.1 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3.3</w:t>
      </w:r>
    </w:p>
    <w:p>
      <w:r>
        <w:t>En l’espèce, conformément à la jurisprudence précitée et contrairement à ce que soutient l’intimé, le moment déterminant pour l’examen de l’existence de faits nouveaux est le 30 octobre 2020, date du dépôt de la requête de conciliation. Sur ce point, force est de constater qu'il existe bien un élément de fait nouveau, important et durable, en l’occurrence la naissance du troisième enfant de l'intimé le 15 avril 2020, survenu après la signature de la convention en 2016. Il est d’ailleurs constant que la naissance d'un nouvel enfant constitue un fait qui entraîne un déséquilibre entre les parents, sauf situation particulièrement favorable qui n'est pas réalisée en l'espèce (ATF 137 III 604 consid. 4.2 ; CACI 24 mars 2021/129 consid. 3.3). Il sied donc de retenir que cet élément suffisait à lui seul pour entrer en matière sur la demande de modification de l'intimé, le fait que les autres éléments de sa situation ne se soient pas modifiés de façon importante et durable n'étant pas pertinent. Au demeurant, l’appelante ne peut tirer aucune conclusion du fait que l’intimé a retiré, pour des motifs semble-t-il procéduraux, une première procédure en modification de la contribution d’entretien. Le grief de l’appelante doit ainsi être rejeté.</w:t>
      </w:r>
    </w:p>
    <w:p>
      <w:r>
        <w:rPr>
          <w:b/>
        </w:rPr>
        <w:t>E. 4.1</w:t>
      </w:r>
    </w:p>
    <w:p>
      <w:r>
        <w:t>Dans un second temps, l'appelante conteste le fait que le jugement entrepris ne retienne pas de revenu hypothétique au motif que l'intimé aurait fourni les efforts exigibles pour maximiser sa capacité de gain. Selon elle, il se serait engagé au paiement des contributions d'entretien litigieuses après son mariage avec une ressortissante portugaise habitant à l’étranger, tout en continuant à résider en Suisse. L'état de santé de la mère de l'intimé, motif invoqué pour justifier son départ au Portugal, ne serait par ailleurs pas pertinent. Enfin, il n’aurait pas exclu l’éventualité d’un retour en Suisse. Ces éléments auraient, selon l'appelante, dû amener le premier juge à retenir qu'il pouvait raisonnablement être exigé que l'intimé demeure en Suisse pour y travailler et subvenir aux besoins de ses deux enfants aînés et qu’à défaut, un revenu hypothétique devait lui être imputé. L'appelante soutient encore que le jugement entrepris retient à tort que l'intimé aurait démontré avoir déployé tous les efforts que l'on pouvait raisonnablement exiger de lui pour maximiser sa capacité de gain et sa capacité contributive, puisqu'il se serait borné à produire un nombre minimal de « documents basiques » pour assurer le maintien du droit aux indemnités de chômage, sans produire les éventuelles réponses négatives ou positives reçues. Enfin, elle conclut à ce qu’un revenu hypothétique de 4’123 fr. par mois soit imputé à l’intimé, correspondant aux indemnités chômage qu'il aurait encore pu percevoir.</w:t>
      </w:r>
    </w:p>
    <w:p>
      <w:r>
        <w:rPr>
          <w:b/>
        </w:rPr>
        <w:t>E. 4.2</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la procédure concerne le calcul de la contribution envers un enfant mineur, des exigences particulièrement élevées sont posées quant à la mise à profit de la capacité de gain du parent débirentier.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147 III 265 consid. 7.4 ; ATF 137 III 118 consid. 3.1 ; TF 5A_561/2020 du 3 mars 2021 consid. 5.1.2 ; TF 5A_254/2019 du 18 juillet 2019 consid. 3.1). Lorsque le débirentier diminue son revenu dans l'intention de nuire, une modification de la contribution d'entretien est exclue même si la réduction du revenu est irrémédiable (ATF 143 III 233 consid. 3.4). Par ailleurs,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 citées).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147 III 249 consid. 3.4.4 ; ATF 143 III 233 consid. 3.2 ; TF 5A_191/2021 du 22 février 2022 consid. 5.1.2). Lorsque le changement dans l'activité lucrative d'un époux ne découle pas d'une réorientation professionnelle, mais d'un déplacement à l'étranger de l'activité lucrative, le juge doit tenir compte de l'ensemble des circonstances entourant ce changement avant de lui imputer un revenu hypothétique. Si un conjoint, ressortissant étranger, retourne dans son pays natal au moment du divorce, il peut se justifier de tenir compte du salaire plus bas qu'il réalise à son nouveau lieu de domicile. Néanmoins, les parents ne peuvent pas librement choisir de modifier leurs conditions de vie si cela exerce une influence sur leur capacité à assumer leurs obligations alimentaires envers des enfants mineurs. Le fait de s'installer à l'étranger, qui est en soi un acte autorisé, peut ainsi être ignoré lorsqu'une autre activité en Suisse peut être exigée du débirentier. Si le débirentier est en principe libre de transférer son domicile à l'étranger, la perte de revenus qui en résulte ne peut pas être invoquée au détriment du créancier d'entretien lorsque le débiteur peut continuer de réaliser en Suisse le revenu dont il bénéficiait jusqu'ici et qu'il est possible d'exiger de lui. Ainsi, tout déménagement n'a pas forcément à être pris en compte, en particulier s'il est effectué dans le seul but de diminuer les moyens financiers à disposition pour s'acquitter de contributions d'entretien ; une réserve toute particulière doit être mise en présence d'enfants mineurs. Les circonstances entourant une vie nouvelle à l'étranger doivent être prises en compte pour déterminer si l'on peut raisonnablement exiger de la personne concernée qu'elle revienne vivre en Suisse (TF 5A_90/2017 du 24 août 2017 consid. 5.3.1 ; Stoudmann, op.cit., p. 98 ss et les réf. citées). Cela étant, avant de retenir un revenu hypothétique « de niveau suisse », le juge doit examiner si l'intéressé dispose de la possibilité effective de retrouver un travail en Suisse et quel revenu il pourrait obtenir. Celui qui se rend à l'étranger avant la fin de son droit au chômage, qui quitte la Suisse sans y avoir véritablement cherché d'emploi, a fortiori sans avoir déposé de postulation, et alors qu'il n'a aucune perspective professionnelle dans le nouveau pays de résidence où le niveau de rémunération est nettement inférieur à celui de la Suisse, s'expose à se voir imputer un revenu hypothétique « de niveau suisse » (TF 5A_662/2013 du 24 juin 2014 consid. 3.3). En revanche, un débiteur d'entretien vivant à l'étranger ne peut pas se voir imputer un revenu hypothétique de niveau suisse s'il ne peut pas être exigé de lui, juridiquement et dans les faits, de s'établir en Suisse ou s'il avait suffisamment de raisons personnelles et sociales de quitter la Suisse. Dans un tel cas, il convient de se fonder sur le revenu que le débiteur d'entretien perçoit ou pourrait percevoir en son lieu de séjour étranger (TC BE 12.10.2010 publié in FamPRA.ch 2011, p. 510 ; Stoudmann, op. cit., p. 98 ss et les réf. citées). Dans l’arrêt bernois précité, il avait été retenu que le débirentier, originaire du Montenegro, n'avait vécu que deux ans en Suisse où il avait rejoint son épouse après le mariage au pays. Il avait accompli quelques années de scolarité en Suisse avant de retourner dans son pays où il avait suivi une formation professionnelle. Les juges ont alors estimé qu'à part la présence de sa fille en Suisse, avec laquelle il n'avait d'ailleurs plus de contact, les liens du mari avec la Suisse n'étaient pas particulièrement étroits et qu'il avait ainsi de bonnes raisons sociales et personnelles de quitter le pays.</w:t>
      </w:r>
    </w:p>
    <w:p>
      <w:r>
        <w:rPr>
          <w:b/>
        </w:rPr>
        <w:t>E. 4.3</w:t>
      </w:r>
    </w:p>
    <w:p>
      <w:r>
        <w:t>En l'espèce, l'intimé est de nationalité portugaise. Il a vécu plusieurs années en Suisse, à tout le moins depuis le 9 juin 2011. Il y a travaillé jusqu'à son licenciement, intervenu à la fin du mois de février 2019. Il s'est inscrit au chômage depuis le mois de mars 2019 et son délai-cadre devait échoir au 3 mars 2021, puis a été reporté au 3 septembre 2021. Renonçant à percevoir les indemnités chômage jusqu’à épuisement de droit, il a quitté la Suisse pour le Portugal le 1 er janvier 2020. L’appelante invoque à raison cette date-là, comme cela ressort de la pièce 15 produite en première instance. Cela étant, cet élément n’est pas déterminant pour l’issue du litige. Selon ses écritures et ses déclarations, le départ de l’intimé était motivé par le fait que son épouse, domiciliée au Portugal, était tombée enceinte et que sa mère avait dû être rapatriée du [...] au Portugal pour y être soignée. Outre sa femme et sa dernière enfant, l’appelant avait un oncle et des tantes au Portugal. Si l'on ne se trouve pas dans un cas identique à celui relaté ci-dessus s'agissant du débirentier originaire du Montenegro (consid. 4.2 supra ), force est de constater qu'en l'espèce, les liens de l'intimé avec la Suisse ne sont pas particulièrement étroits, puisque sa nouvelle famille vit au Portugal et qu'il n'a que très peu de contacts avec ses enfants en Suisse. Certes, au moment de la signature de la convention en 2016, il était déjà marié avec une ressortissante portugaise domiciliée dans ce pays et ils ont vécu « à distance » l'un de l'autre durant une certaine période. Il n'empêche qu'en 2019, la situation a changé, puisque son épouse est tombée enceinte de ses œuvres, leur fille naissant le 15 avril 2020. Cette grossesse et la présence d'un enfant en bas âge rendait fondé le départ de l'intimé au Portugal. Il paraît en effet excessif d'exiger de lui qu'il demeure en Suisse, pays avec lequel il n'a pas de lien étroit, respectivement où il n’entretient que très peu de contacts avec ses enfants aînés, alors qu'il a un jeune enfant au Portugal, pour lequel il pourrait être un père présent, et la mère de celui-ci, qui est son épouse. Il avait ainsi suffisamment de raisons personnelles et sociales de quitter la Suisse. Certes, l'intimé aurait pu continuer à bénéficier d'indemnités chômage plus importantes pendant huit mois encore, mais il n'existe aucun élément au dossier qui permet de retenir qu'il aurait déménagé dans le but de diminuer sa capacité contributive. Comme exposé ci-avant, il avait des raisons d’ordre familial qui justifiaient ce départ. Au surplus, on relève qu’une période de huit mois d’absence d’un parent pour un enfant en bas âge n’est pas négligeable. Du reste, dans son pays, l’intimé a immédiatement suivi un stage de formation avant d'être engagé par [...], de sorte qu'il n'est pas resté sans revenu. Quant à ses recherches d'emploi en Suisse, s'il est vrai qu'il n'a pas produit de réponses négatives ou positives, il a manifestement postulé à de nombreuses reprises. Les recherches produites paraissent suffisantes (plus de sept postulations par mois en moyenne en 2019 et plus de dix en 2020). Il n’existe aucun indice concret pour soupçonner que ses recherches n'auraient pas été sérieuses. Quoi qu’il en soit, les pensions n'ayant été diminuées que dès jugement définitif et exécutoire et sans effet rétroactif, le caractère sérieux des postulations en Suisse n’est aucunement décisif, étant admis que l'intimé était fondé à retourner dans son pays d'origine. Le second grief de l’appelante doit ainsi également être rejeté et il n’y a pas lieu d’imputer à l’intimé un revenu hypothétique, ni d’examiner les conséquences d’un tel revenu.</w:t>
      </w:r>
    </w:p>
    <w:p>
      <w:r>
        <w:rPr>
          <w:b/>
        </w:rPr>
        <w:t>E. 5.1</w:t>
      </w:r>
    </w:p>
    <w:p>
      <w:r>
        <w:t>En conclusion, faute d’autres griefs, l’appel doit être rejeté et le jugement confirmé.</w:t>
      </w:r>
    </w:p>
    <w:p>
      <w:r>
        <w:rPr>
          <w:b/>
        </w:rPr>
        <w:t>E. 5.2</w:t>
      </w:r>
    </w:p>
    <w:p>
      <w:r>
        <w:t>Les frais judiciaires de deuxième instance, arrêtés à 600 fr. (art. 63 al. 1 TFJC [tarif des frais judiciaires civils du 28 septembre 2010 ; BLV 270.11.5), seront mis à la charge de l’appelante, qui succombe entièrement (art. 106 al. 1 CPC). Quand bien même l’intimé obtient gain de cause, il ne sera pas alloué de dépens. En effet, leur allocation n’a pas été requise dans la réponse du 21 décembre 2022, ni ultérieurement.</w:t>
      </w:r>
    </w:p>
    <w:p>
      <w:r>
        <w:rPr>
          <w:b/>
        </w:rPr>
        <w:t>E. 5.3.1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5.3.2</w:t>
      </w:r>
    </w:p>
    <w:p>
      <w:r>
        <w:t>Me Yann Oppliger, conseil de l'appelante, a indiqué avoir consacré 10 heures et 5 minutes au dossier dans la liste des opérations du 11 juillet 2023. Cette durée est excessive et doit être revue à la baisse. D’une part, les 8 heures consacrées à la rédaction du projet d’appel doivent être ramenées à 5 heures, au vu de la difficulté de la cause et de la connaissance préalable du dossier par le conseil, déjà désigné en première instance. D’autre part, il convient de retrancher certaines opérations qui relèvent du pur travail de secrétariat (Juge unique CACI 10 février 2023/73 consid. 4.2 ; Juge déléguée CACI 22 février 2022/103 consid. 13.3.2.2 ; Juge délégué CACI 11 mai 2021/228 consid. 4.3.1). Il en va ainsi des correspondances qui constituent vraisemblablement des lettres de transmission ou des mémos, vu la chronologie des opérations, à savoir les correspondances au client des 2 novembre 2022 et 26 janvier 2023, pour un total de 20 minutes. Au tarif horaire de 180 fr. (art. 2 al. 1 let. a RAJ [règlement sur l’assistance judiciaire en matière civile du 7 décembre 2010 ; BLV 211.02.03]), les honoraires de Me Yann Oppliger s’élèvent à 1’215 fr. (180 fr. x 6.75 h), montant auquel s’ajoutent les débours forfaitaires de 2 % (art. 3bis RAJ ), par 24 fr. 30, la TVA sur le tout par 95 fr. 45, ce qui donne un total de 1'334 fr. 75.</w:t>
      </w:r>
    </w:p>
    <w:p>
      <w:r>
        <w:rPr>
          <w:b/>
        </w:rPr>
        <w:t>E. 5.3.3</w:t>
      </w:r>
    </w:p>
    <w:p>
      <w:r>
        <w:t>Me Guy Longchamp, pour l’intimé, a produit une liste des opérations faisant état d’activités déployées entre le 28 octobre 2022 et le 10 juillet 2023. Les postes antérieurs au courrier du 18 novembre 2022 de la Cour de céans impartissant un délai de réponse, et en particulier les opérations datant de 2020, doivent être retranchés à hauteur de 2 heures. De plus, le temps consacré à la rédaction de la réponse, soit 6.20 heures, est excessif et doit être réduit à 4 heures, au vu de la difficulté de la cause et de la connaissance préalable du dossier par le conseil, déjà désigné en première instance. Ensuite, il convient également de retrancher certaines opérations comme les correspondances du 21 décembre 2022 (L. à Me Oppliger, L. à TC, L. à TC [AJ]), pour un total de 0.6 heures, la lettre au conseil de la partie adverse du 31 janvier 2023, pour un total de 12 minutes, et enfin les opérations du 10 juillet 2023 (L. à TC + LOP ; E-mail à client), à hauteur de 24 minutes. En effet, il s’agit de lettres d’accompagnement ne contenant aucune indication particulière et s’apparentant dès lors à de simples mémos de transmission relevant d’un travail de secrétariat. Enfin, l’heure forfaitaire pour les opérations à venir apparaît excessive dans la présente cause, au regard en particulier du gain de cause de l’intimé. Elle sera donc réduite à 30 minutes. Ainsi, la durée totale retenue s’élève à 10.2 heures ([11.7 – 2 –</w:t>
      </w:r>
    </w:p>
    <w:p>
      <w:r>
        <w:rPr>
          <w:b/>
        </w:rPr>
        <w:t>E. 6</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