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435 vom 20. Juni 2023</w:t>
      </w:r>
    </w:p>
    <w:p>
      <w:r>
        <w:t>VD Tribunal cantonal, 2023-06-20, FR</w:t>
      </w:r>
    </w:p>
    <w:p>
      <w:r>
        <w:rPr>
          <w:b/>
        </w:rPr>
        <w:t xml:space="preserve">Quelle: </w:t>
      </w:r>
      <w:r>
        <w:t>https://mcp.opencaselaw.ch/entscheid/vd_findinfo_HC___2023___435</w:t>
      </w:r>
    </w:p>
    <w:p>
      <w:r>
        <w:t>FR: VD_FINDINFO HC / 2023 / 435 du 20 juin 2023</w:t>
      </w:r>
    </w:p>
    <w:p>
      <w:r>
        <w:t>IT: VD_FINDINFO HC / 2023 / 435 del 20 giugno 2023</w:t>
      </w:r>
    </w:p>
    <w:p>
      <w:pPr>
        <w:pStyle w:val="Heading2"/>
      </w:pPr>
      <w:r>
        <w:t>Regeste</w:t>
      </w:r>
    </w:p>
    <w:p>
      <w:r>
        <w:t>EFFET SUSPENSIF, REJET DE LA DEMANDE, EXÉCUTION{PROCÉDURE} | 325 CPC (CH), 341 al. 1 CPC (CH)</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(parmi d’autres : CREC 19 mai 2022/126). L'exécution des décisions étant régie par la procédure sommaire (art. 248 let. a et 339 al. 2 CPC), le recours, écrit et motivé, doit être introduit dans les dix jours à compter de la notification de la décision motivée (art. 321 al. 2 CPC) auprès de la Chambre des recours civile, dont la compétence découle de l’art. 73 LOJV (loi d’organisation judiciaire du 12 décembre 1979 ; BLV 173.01).</w:t>
      </w:r>
    </w:p>
    <w:p>
      <w:r>
        <w:rPr>
          <w:b/>
        </w:rPr>
        <w:t>E. 1.2.1</w:t>
      </w:r>
    </w:p>
    <w:p>
      <w:r>
        <w:t>Formé en temps utile par une partie qui a un intérêt digne de protection (art. 59 al.</w:t>
      </w:r>
    </w:p>
    <w:p>
      <w:r>
        <w:rPr>
          <w:b/>
        </w:rPr>
        <w:t>E. 1.2.2</w:t>
      </w:r>
    </w:p>
    <w:p>
      <w:r>
        <w:t>La recourante conclut au préalable à l’octroi de l’effet suspensif au recours. Cependant, elle n’expose pas en quoi la pesée des intérêts en présence justifierait de retenir que les inconvénients qu’elle subirait en cas d’exécution immédiate de l’ordonnance seraient plus importants que ceux causés à l’intimé en cas d’octroi de l’effet suspensif (art. 325 al. 2 CPC ; TF 5A_1021/2014 du 20 mai 2015 consid. 3.3). Faute de motivation (art. 321 al. 1 in initio CPC ; TF 147 III 176 consid. 4.2.1 et les réf. citées ; ATF 141 III 569 consid. 2.3.3 ; ATF 138 III 374 consid. 4.3.1), la requête d’effet suspensif est irrecevable. Au demeurant et dès lors qu’il est immédiatement statué sur le fond, elle devient sans objet.</w:t>
      </w:r>
    </w:p>
    <w:p>
      <w:r>
        <w:rPr>
          <w:b/>
        </w:rPr>
        <w:t>E. 2</w:t>
      </w:r>
    </w:p>
    <w:p>
      <w:r>
        <w:t>let. a CPC) contre une décision d’exécution,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Dans une partie « Bref rappel des faits » (pp. 2 à 5 du recours), la recourante reprend son allégation de fait de première instance. Or, faute pour la recourante d’exposer en quoi le premier juge aurait constaté les faits de manière manifestement inexacte, comme l'exige l'art. 320 let. b CPC, cette partie du recours est irrecevable et il n'y a pas lieu d'y revenir ni de s'écarter des faits retenus en première instance.</w:t>
      </w:r>
    </w:p>
    <w:p>
      <w:r>
        <w:rPr>
          <w:b/>
        </w:rPr>
        <w:t>E. 3.1</w:t>
      </w:r>
    </w:p>
    <w:p>
      <w:r>
        <w:t>La recourante invoque ne pas avoir signé le contrat de courtage avec l’agence E.________ Sàrl en raison d’une rupture du lien de confiance. Elle fait également valoir que l’intimé n’aurait pas respecté la convention du 6 juillet 2021 et ne lui aurait notamment pas remis neuf transformateurs de train miniature. Elle ajoute avoir ignoré qu’un violon appartenant à leur père ne se trouvait plus dans la maison à X.________, ce qui constituait un élément nouveau justifiant une correction de la situation. La recourante requiert en outre la restitution de la clé de l’appartement du rez-de-chaussée/1 ère étage de la maison à X.________.</w:t>
      </w:r>
    </w:p>
    <w:p>
      <w:r>
        <w:rPr>
          <w:b/>
        </w:rPr>
        <w:t>E. 3.2</w:t>
      </w:r>
    </w:p>
    <w:p>
      <w:r>
        <w:t>Conformément à l’art. 338 al. 1 CPC, si une décision ne peut être exécutée directement, une requête d’exécution est présentée au tribunal de l’exécution. En vertu de l’art. 341 CPC,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Au stade de la procédure d'exécution, qui ne saurait être confondue avec une voie de remise en cause de la décision au fond, la partie intimée ne peut revenir sur l'objet du litige puisque le jugement déploie autorité de chose jugée. En conséquence, seuls des faits survenus postérieurement au jour où le jugement a été rendu et faisant obstacle à son exécution peuvent être allégués par la partie intimée. Ce seront notamment des faits dont la survenance a eu pour conséquence l'extinction de la prétention à exécuter. L'intimé à l'exécution supporte le fardeau de l'allégation et de la preuve d'une telle objection de droit matériel (TF 4A_432/2019 du 13 décembre 2019 consid. 3.3.2 ; TF 5A_167/2017 du 11 septembre 2017 consid. 6.2 ; TF 5D_124/2015 du 18 mai 2016 consid. 2.3.3). L'intimé à l'exécution doit notamment alléguer et prouver que les faits fondant son objection se sont produits postérieurement au jugement (TF 5D_178/2019 du 26 mai 2020 consid. 4.4).</w:t>
      </w:r>
    </w:p>
    <w:p>
      <w:r>
        <w:rPr>
          <w:b/>
        </w:rPr>
        <w:t>E. 3.3</w:t>
      </w:r>
    </w:p>
    <w:p>
      <w:r>
        <w:t>En l’occurrence, on relève en premier lieu que les griefs de la recourante sont identiques à ceux invoqués en première instance. Il lui incombait cependant de s'en prendre à la motivation de la décision attaquée pour tendre à en démontrer le caractère erroné (ATF 147 III 176 consid. 4.2.1 et les réf. citées ; ATF 141 III 569 consid. 2.3.3 ; ATF 138 III 374 consid. 4.3.1). Afin de satisfaire à cette exigence, la recourante devait discuter au moins de manière succincte les considérants de l’ordonnance entreprise (ATF 141 III 569 consid. 2.3.3 et les réf. citées ; parmi d’autres : TF 4A_611/2020 du 12 juillet 2021 consid. 3.3.1 ; TF4A_397/2016 du 30 novembre 2016 consid. 3.1), ce qu’elle ne fait pas. Partant, la motivation de la recourante ne répond pas aux exigences jurisprudentielles. De plus, les arguments invoqués par la recourante sont des griefs de fond et non relatifs aux conditions de l’exécution. Or, dans le cadre d’une requête d’exécution, le juge ne procède pas un nouvel examen du fond. Pour le surplus, la motivation du premier juge peut être entièrement reprise, à savoir que le jugement dont l’intimé demande l’exécution est définitif et exécutoire et que la prestation non-exécutée en cause est déterminée quant à son objet et à son moment, de sorte que les conditions de l’exécution sont remplies et aucun motif ne peut s’opposer à l’exécution de la décision. Concernant la rupture du lien de confiance invoquée par la recourante avec l’agence E.________ Sàrl, elle n’est pas rendue vraisemblable, ni le fait qu’une telle rupture du lien de confiance constituerait un fait postérieur à la convention engendrant l’extinction de la prestation. Les frais de courtage élevés des deux agences invoqués par la recourante ne s’opposent pas non plus à l’exécution du jugement. La recourante n’établit pas non plus que l’intimé se serait engagé à restituer des transformateurs. S’agissant de l’argument selon lequel lesdits transformateurs seraient indispensables à l’utilisation des petits trains, la recourante ne le démontre pas et ce fait, même s’il était retenu, la recourante n’ayant soulevé aucune constatation arbitraire des faits (consid. 2.2 supra ), n’empêcherait pas l’exécution du jugement, la remise des transformateurs ne conditionnant pas l’exécution. Il en va de même pour le violon qui aurait appartenu à feu J.Q.________ et la clé réclamée. Par conséquent, les griefs de la recourante, pour autant que recevables, sont rejetés.</w:t>
      </w:r>
    </w:p>
    <w:p>
      <w:r>
        <w:rPr>
          <w:b/>
        </w:rPr>
        <w:t>E. 4.1</w:t>
      </w:r>
    </w:p>
    <w:p>
      <w:r>
        <w:t>En définitive, le recours, manifestement mal fondé (art. 322 al. 1 in fine CPC), doit être rejeté et l’ordonnance confirmée.</w:t>
      </w:r>
    </w:p>
    <w:p>
      <w:r>
        <w:rPr>
          <w:b/>
        </w:rPr>
        <w:t>E. 4.2</w:t>
      </w:r>
    </w:p>
    <w:p>
      <w:r>
        <w:t>Vu l'issue du recours, les frais judiciaires de deuxième instance, arrêtés à 1'000 fr. (art. 82 al. 1 TFJC [tarif des frais judiciaires civils du 28 septembre 2010 ; BLV 270.11.5]), seront mis à la charge de la recourante, qui succombe (art. 106 al. 1 CPC). Il n’y a pas lieu à l’allocation de dépens, l’intimé n’ayant pas été invité à se déterminer (art. 322 al. 1 in fine CPC). Par ces motifs, la Chambre des recours civile du Tribunal cantonal, en application de l'art. 322 al. 1 CPC, prononce : I. La requête d’effet suspensif est irrecevable. II. Le recours est rejeté. III. L’ordonnance est confirmée. IV. Les frais judiciaires de deuxième instance, arrêtés à 1'000 fr. (mille francs), sont mis à la charge de la recourante A.Q.________. V. L’arrêt est exécutoire. La présidente :               La greffière : Du L'arrêt qui précède, dont la rédaction a été approuvée à huis clos, est notifié à : ‑ Me Alain Pichard (pour A.Q.________), ‑ Me Christophe Misteli (pour I.Q.________).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